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28"/>
        </w:rPr>
        <w:t>COMPLETION / SIGNING CHECKLIST</w:t>
      </w:r>
    </w:p>
    <w:p>
      <w:pPr>
        <w:spacing w:after="160"/>
        <w:jc w:val="center"/>
      </w:pPr>
      <w:r>
        <w:rPr>
          <w:b w:val="0"/>
          <w:i/>
        </w:rPr>
        <w:t>Project Umbra — Patent and Software Licence (Caspian / Hollencroft)</w:t>
      </w:r>
    </w:p>
    <w:p>
      <w:pPr>
        <w:spacing w:after="160"/>
      </w:pPr>
      <w:r>
        <w:rPr>
          <w:b w:val="0"/>
          <w:i w:val="0"/>
          <w:sz w:val="18"/>
        </w:rPr>
        <w:t>Signing target: 27 February 2026.  Whitfield Carter LLP ref SW/EM/CAS-UMBRA.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Document / step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Patent and Software Licence Agreement (execution version)</w:t>
            </w:r>
          </w:p>
        </w:tc>
        <w:tc>
          <w:tcPr>
            <w:tcW w:type="dxa" w:w="2340"/>
          </w:tcPr>
          <w:p>
            <w:r>
              <w:t>WC / Pemberton Rowe</w:t>
            </w:r>
          </w:p>
        </w:tc>
        <w:tc>
          <w:tcPr>
            <w:tcW w:type="dxa" w:w="2340"/>
          </w:tcPr>
          <w:p>
            <w:r>
              <w:t>Agreed — for signature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Disclosure Letter</w:t>
            </w:r>
          </w:p>
        </w:tc>
        <w:tc>
          <w:tcPr>
            <w:tcW w:type="dxa" w:w="2340"/>
          </w:tcPr>
          <w:p>
            <w:r>
              <w:t>WC (Caspian)</w:t>
            </w:r>
          </w:p>
        </w:tc>
        <w:tc>
          <w:tcPr>
            <w:tcW w:type="dxa" w:w="2340"/>
          </w:tcPr>
          <w:p>
            <w:r>
              <w:t>Final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Source Code Escrow Agreement (NCC Group)</w:t>
            </w:r>
          </w:p>
        </w:tc>
        <w:tc>
          <w:tcPr>
            <w:tcW w:type="dxa" w:w="2340"/>
          </w:tcPr>
          <w:p>
            <w:r>
              <w:t>WC / NCC</w:t>
            </w:r>
          </w:p>
        </w:tc>
        <w:tc>
          <w:tcPr>
            <w:tcW w:type="dxa" w:w="2340"/>
          </w:tcPr>
          <w:p>
            <w:r>
              <w:t>Tripartite — for signature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Schedule of Licensed Patents (verified vs registers)</w:t>
            </w:r>
          </w:p>
        </w:tc>
        <w:tc>
          <w:tcPr>
            <w:tcW w:type="dxa" w:w="2340"/>
          </w:tcPr>
          <w:p>
            <w:r>
              <w:t>Hartington IP</w:t>
            </w:r>
          </w:p>
        </w:tc>
        <w:tc>
          <w:tcPr>
            <w:tcW w:type="dxa" w:w="2340"/>
          </w:tcPr>
          <w:p>
            <w:r>
              <w:t>Verified 20 Feb 2026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Patent-attorney validity &amp; FTO confirmation</w:t>
            </w:r>
          </w:p>
        </w:tc>
        <w:tc>
          <w:tcPr>
            <w:tcW w:type="dxa" w:w="2340"/>
          </w:tcPr>
          <w:p>
            <w:r>
              <w:t>Hartington IP</w:t>
            </w:r>
          </w:p>
        </w:tc>
        <w:tc>
          <w:tcPr>
            <w:tcW w:type="dxa" w:w="2340"/>
          </w:tcPr>
          <w:p>
            <w:r>
              <w:t>Received 16 Feb 2026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Caspian board resolution approving the Licence</w:t>
            </w:r>
          </w:p>
        </w:tc>
        <w:tc>
          <w:tcPr>
            <w:tcW w:type="dxa" w:w="2340"/>
          </w:tcPr>
          <w:p>
            <w:r>
              <w:t>Caspian / WC</w:t>
            </w:r>
          </w:p>
        </w:tc>
        <w:tc>
          <w:tcPr>
            <w:tcW w:type="dxa" w:w="2340"/>
          </w:tcPr>
          <w:p>
            <w:r>
              <w:t>Passed 19 Feb 2026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Hollencroft board/committee approval</w:t>
            </w:r>
          </w:p>
        </w:tc>
        <w:tc>
          <w:tcPr>
            <w:tcW w:type="dxa" w:w="2340"/>
          </w:tcPr>
          <w:p>
            <w:r>
              <w:t>Hollencroft / Pemberton Rowe</w:t>
            </w:r>
          </w:p>
        </w:tc>
        <w:tc>
          <w:tcPr>
            <w:tcW w:type="dxa" w:w="2340"/>
          </w:tcPr>
          <w:p>
            <w:r>
              <w:t>Passed 23 Feb 2026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Royalty model &amp; minimum-royalty schedule</w:t>
            </w:r>
          </w:p>
        </w:tc>
        <w:tc>
          <w:tcPr>
            <w:tcW w:type="dxa" w:w="2340"/>
          </w:tcPr>
          <w:p>
            <w:r>
              <w:t>WC (Elena Marchetti)</w:t>
            </w:r>
          </w:p>
        </w:tc>
        <w:tc>
          <w:tcPr>
            <w:tcW w:type="dxa" w:w="2340"/>
          </w:tcPr>
          <w:p>
            <w:r>
              <w:t>Agreed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Brand &amp; attribution guidelines (Schedule 9)</w:t>
            </w:r>
          </w:p>
        </w:tc>
        <w:tc>
          <w:tcPr>
            <w:tcW w:type="dxa" w:w="2340"/>
          </w:tcPr>
          <w:p>
            <w:r>
              <w:t>Caspian marketing</w:t>
            </w:r>
          </w:p>
        </w:tc>
        <w:tc>
          <w:tcPr>
            <w:tcW w:type="dxa" w:w="2340"/>
          </w:tcPr>
          <w:p>
            <w:r>
              <w:t>Final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Data-processing particulars (Schedule 8)</w:t>
            </w:r>
          </w:p>
        </w:tc>
        <w:tc>
          <w:tcPr>
            <w:tcW w:type="dxa" w:w="2340"/>
          </w:tcPr>
          <w:p>
            <w:r>
              <w:t>WC</w:t>
            </w:r>
          </w:p>
        </w:tc>
        <w:tc>
          <w:tcPr>
            <w:tcW w:type="dxa" w:w="2340"/>
          </w:tcPr>
          <w:p>
            <w:r>
              <w:t>Final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Upfront fee invoice arrangements (£1,250,000)</w:t>
            </w:r>
          </w:p>
        </w:tc>
        <w:tc>
          <w:tcPr>
            <w:tcW w:type="dxa" w:w="2340"/>
          </w:tcPr>
          <w:p>
            <w:r>
              <w:t>Caspian finance</w:t>
            </w:r>
          </w:p>
        </w:tc>
        <w:tc>
          <w:tcPr>
            <w:tcW w:type="dxa" w:w="2340"/>
          </w:tcPr>
          <w:p>
            <w:r>
              <w:t>Pending post-signing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Counterparts circulated for e-signature (DocuSign)</w:t>
            </w:r>
          </w:p>
        </w:tc>
        <w:tc>
          <w:tcPr>
            <w:tcW w:type="dxa" w:w="2340"/>
          </w:tcPr>
          <w:p>
            <w:r>
              <w:t>WC (Donna Bridges)</w:t>
            </w:r>
          </w:p>
        </w:tc>
        <w:tc>
          <w:tcPr>
            <w:tcW w:type="dxa" w:w="2340"/>
          </w:tcPr>
          <w:p>
            <w:r>
              <w:t>In hand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0"/>
          <w:i/>
          <w:sz w:val="18"/>
        </w:rPr>
        <w:t>On completion: dated execution version to be PDF’d and circulated; conformed copies to the data room; escrow deposit to be made within 30 days; upfront fee invoice to issue.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