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Whitfield Carter LLP</w:t>
      </w:r>
    </w:p>
    <w:p>
      <w:pPr>
        <w:spacing w:after="40"/>
      </w:pPr>
      <w:r>
        <w:rPr>
          <w:b w:val="0"/>
          <w:i w:val="0"/>
          <w:sz w:val="16"/>
        </w:rPr>
        <w:t>22 Bishopsgate, London EC2N 4BQ   |   DX 138760 Cheapside 2   |   +44 (0)20 7946 0100   |   whitfieldcarter.com</w:t>
      </w:r>
    </w:p>
    <w:p>
      <w:pPr>
        <w:spacing w:after="160"/>
        <w:pBdr>
          <w:bottom w:val="single" w:sz="6" w:space="1" w:color="1F3864"/>
        </w:pBdr>
      </w:pPr>
    </w:p>
    <w:p>
      <w:pPr>
        <w:spacing w:after="120"/>
        <w:jc w:val="center"/>
      </w:pPr>
      <w:r>
        <w:rPr>
          <w:b/>
          <w:i w:val="0"/>
          <w:sz w:val="26"/>
        </w:rPr>
        <w:t>DISCLOSURE LETTER</w:t>
      </w:r>
    </w:p>
    <w:p>
      <w:pPr>
        <w:spacing w:after="160"/>
        <w:jc w:val="center"/>
      </w:pPr>
      <w:r>
        <w:rPr>
          <w:b w:val="0"/>
          <w:i/>
        </w:rPr>
        <w:t>Project Umbra — Patent and Software Licence Agreement</w:t>
      </w:r>
    </w:p>
    <w:p>
      <w:pPr>
        <w:spacing w:after="120"/>
        <w:jc w:val="right"/>
      </w:pPr>
      <w:r>
        <w:rPr>
          <w:b w:val="0"/>
          <w:i w:val="0"/>
        </w:rPr>
        <w:t>27 February 2026</w:t>
      </w:r>
    </w:p>
    <w:p>
      <w:pPr>
        <w:spacing w:after="120"/>
      </w:pPr>
      <w:r>
        <w:rPr>
          <w:b w:val="0"/>
          <w:i w:val="0"/>
        </w:rPr>
        <w:t>To: Hollencroft Industrial Group plc and its advisers, Pemberton Rowe LLP</w:t>
      </w:r>
    </w:p>
    <w:p>
      <w:pPr>
        <w:spacing w:after="120"/>
      </w:pPr>
      <w:r>
        <w:rPr>
          <w:b w:val="0"/>
          <w:i w:val="0"/>
        </w:rPr>
        <w:t>From: Caspian Technologies Limited</w:t>
      </w:r>
    </w:p>
    <w:p>
      <w:pPr>
        <w:spacing w:after="120"/>
      </w:pPr>
      <w:r>
        <w:rPr>
          <w:b w:val="0"/>
          <w:i w:val="0"/>
        </w:rPr>
        <w:t>Dear Sirs</w:t>
      </w:r>
    </w:p>
    <w:p>
      <w:pPr>
        <w:spacing w:after="120"/>
        <w:jc w:val="both"/>
      </w:pPr>
      <w:r>
        <w:rPr>
          <w:b w:val="0"/>
          <w:i w:val="0"/>
        </w:rPr>
        <w:t>This is the Disclosure Letter referred to in clause 7.2 of the Patent and Software Licence Agreement of even date (the “Agreement”). Terms defined in the Agreement have the same meaning here. The matters disclosed below qualify the Warranties given by the Licensor in clause 7.</w:t>
      </w:r>
    </w:p>
    <w:p>
      <w:pPr>
        <w:spacing w:after="120"/>
      </w:pPr>
      <w:r>
        <w:rPr>
          <w:b/>
          <w:i w:val="0"/>
        </w:rPr>
        <w:t>1. General disclosures</w:t>
      </w:r>
    </w:p>
    <w:p>
      <w:pPr>
        <w:spacing w:after="120"/>
        <w:jc w:val="both"/>
      </w:pPr>
      <w:r>
        <w:rPr>
          <w:b w:val="0"/>
          <w:i w:val="0"/>
        </w:rPr>
        <w:t>All matters apparent from the public registers (the UK Intellectual Property Office, the EPO and the USPTO) and from the contents of the data room made available to the Licensee’s advisers between 18 November 2025 and 20 February 2026 are disclosed against the Warranties.</w:t>
      </w:r>
    </w:p>
    <w:p>
      <w:pPr>
        <w:spacing w:after="120"/>
      </w:pPr>
      <w:r>
        <w:rPr>
          <w:b/>
          <w:i w:val="0"/>
        </w:rPr>
        <w:t>2. Specific disclosures</w:t>
      </w:r>
    </w:p>
    <w:p>
      <w:pPr>
        <w:spacing w:after="40"/>
      </w:pPr>
      <w:r>
        <w:rPr>
          <w:b/>
          <w:i w:val="0"/>
        </w:rPr>
        <w:t>Warranty 7.1(a) (title)</w:t>
      </w:r>
    </w:p>
    <w:p>
      <w:pPr>
        <w:spacing w:after="120"/>
        <w:jc w:val="both"/>
      </w:pPr>
      <w:r>
        <w:rPr>
          <w:b w:val="0"/>
          <w:i w:val="0"/>
        </w:rPr>
        <w:t>GB2611902 and its pending EP/US equivalents (EP4123456 / US 18/345,221) are subject to a co-inventor assignment from a former contractor, Dr A. Mehl, executed on 2 September 2022 and recorded; a certified copy is in the data room at 4.2.1.</w:t>
      </w:r>
    </w:p>
    <w:p>
      <w:pPr>
        <w:spacing w:after="40"/>
      </w:pPr>
      <w:r>
        <w:rPr>
          <w:b/>
          <w:i w:val="0"/>
        </w:rPr>
        <w:t>Warranty 7.1(c) (non-infringement)</w:t>
      </w:r>
    </w:p>
    <w:p>
      <w:pPr>
        <w:spacing w:after="120"/>
        <w:jc w:val="both"/>
      </w:pPr>
      <w:r>
        <w:rPr>
          <w:b w:val="0"/>
          <w:i w:val="0"/>
        </w:rPr>
        <w:t>Caspian received a third-party letter from Verdigris Sensing Ltd dated 11 March 2024 querying potential overlap of GB2611902 with EP2901xxx. Caspian’s patent attorneys (Hartington IP) advised on 9 April 2024 that the claims do not read on to the AtlasMRV implementation; the correspondence and opinion are disclosed at 4.3.</w:t>
      </w:r>
    </w:p>
    <w:p>
      <w:pPr>
        <w:spacing w:after="40"/>
      </w:pPr>
      <w:r>
        <w:rPr>
          <w:b/>
          <w:i w:val="0"/>
        </w:rPr>
        <w:t>Warranty 7.1(b) (performance)</w:t>
      </w:r>
    </w:p>
    <w:p>
      <w:pPr>
        <w:spacing w:after="120"/>
        <w:jc w:val="both"/>
      </w:pPr>
      <w:r>
        <w:rPr>
          <w:b w:val="0"/>
          <w:i w:val="0"/>
        </w:rPr>
        <w:t>Two open priority-3 defects in the Satellite Estimation Service (tickets ATL-1187 and ATL-1203) are disclosed; both have agreed fix targets within the implementation period.</w:t>
      </w:r>
    </w:p>
    <w:p>
      <w:pPr>
        <w:spacing w:after="40"/>
      </w:pPr>
      <w:r>
        <w:rPr>
          <w:b/>
          <w:i w:val="0"/>
        </w:rPr>
        <w:t>Warranty (open-source)</w:t>
      </w:r>
    </w:p>
    <w:p>
      <w:pPr>
        <w:spacing w:after="120"/>
        <w:jc w:val="both"/>
      </w:pPr>
      <w:r>
        <w:rPr>
          <w:b w:val="0"/>
          <w:i w:val="0"/>
        </w:rPr>
        <w:t>The AtlasMRV Core engine incorporates the open-source libraries listed in the OSS bill of materials at 5.1, all under permissive (MIT/Apache-2.0) licences; no copyleft components are embedded in distributed object code.</w:t>
      </w:r>
    </w:p>
    <w:p>
      <w:pPr>
        <w:spacing w:after="280"/>
      </w:pPr>
      <w:r>
        <w:rPr>
          <w:b w:val="0"/>
          <w:i w:val="0"/>
        </w:rPr>
        <w:t>Yours faithfully</w:t>
      </w:r>
    </w:p>
    <w:p>
      <w:pPr>
        <w:spacing w:after="120"/>
      </w:pPr>
      <w:r>
        <w:rPr>
          <w:b w:val="0"/>
          <w:i w:val="0"/>
        </w:rPr>
        <w:t>for and on behalf of CASPIAN TECHNOLOGIES LIMITED</w:t>
      </w:r>
    </w:p>
    <w:p>
      <w:pPr>
        <w:spacing w:after="120"/>
      </w:pPr>
      <w:r>
        <w:rPr>
          <w:b w:val="0"/>
          <w:i w:val="0"/>
        </w:rPr>
        <w:t>Sofia Trevino,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