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8"/>
        </w:rPr>
        <w:t>HEADS OF TERMS — SUBJECT TO CONTRACT</w:t>
      </w:r>
    </w:p>
    <w:p>
      <w:pPr>
        <w:spacing w:after="160"/>
        <w:jc w:val="center"/>
      </w:pPr>
      <w:r>
        <w:rPr>
          <w:b w:val="0"/>
          <w:i/>
        </w:rPr>
        <w:t>Project Umbra — Patent and Software Licence</w:t>
      </w:r>
    </w:p>
    <w:p>
      <w:pPr>
        <w:spacing w:after="200"/>
        <w:jc w:val="right"/>
      </w:pPr>
      <w:r>
        <w:rPr>
          <w:b/>
          <w:i w:val="0"/>
        </w:rPr>
        <w:t>Dated 14 November 2025</w:t>
      </w:r>
    </w:p>
    <w:p>
      <w:pPr>
        <w:spacing w:after="160"/>
        <w:jc w:val="both"/>
      </w:pPr>
      <w:r>
        <w:rPr>
          <w:b w:val="0"/>
          <w:i w:val="0"/>
        </w:rPr>
        <w:t>These heads of terms record the principal commercial terms on which Caspian Technologies Limited (“Licensor”) and Hollencroft Industrial Group plc (“Licensee”) propose to enter into a patent and software licence in respect of the AtlasMRV platform and the AtlasMRV Patent Family. They are not legally binding save for paragraphs 9 (Exclusivity), 10 (Confidentiality) and 11 (Costs).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Outline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1. Subject matter</w:t>
            </w:r>
          </w:p>
        </w:tc>
        <w:tc>
          <w:tcPr>
            <w:tcW w:type="dxa" w:w="4680"/>
          </w:tcPr>
          <w:p>
            <w:r>
              <w:t>Exclusive, field-limited licence of the AtlasMRV software platform plus a licence of the AtlasMRV Patent Family (GB2598471, EP3987654, US11,887,123, GB2611902 and pending equivalents).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2. Field</w:t>
            </w:r>
          </w:p>
        </w:tc>
        <w:tc>
          <w:tcPr>
            <w:tcW w:type="dxa" w:w="4680"/>
          </w:tcPr>
          <w:p>
            <w:r>
              <w:t>Embedding AtlasMRV in the Licensee’s customer-facing supply-chain emissions reporting product (“Hollencroft Carbon Insight”). Reserved Sectors retained by the Licensor.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3. Territory</w:t>
            </w:r>
          </w:p>
        </w:tc>
        <w:tc>
          <w:tcPr>
            <w:tcW w:type="dxa" w:w="4680"/>
          </w:tcPr>
          <w:p>
            <w:r>
              <w:t>Worldwide, subject to Reserved Sectors and export controls.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4. Exclusivity</w:t>
            </w:r>
          </w:p>
        </w:tc>
        <w:tc>
          <w:tcPr>
            <w:tcW w:type="dxa" w:w="4680"/>
          </w:tcPr>
          <w:p>
            <w:r>
              <w:t>Exclusive within the Field, conditional on minimum annual royalties; convertible to non-exclusive on failure to meet minimums.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5. Upfront fee</w:t>
            </w:r>
          </w:p>
        </w:tc>
        <w:tc>
          <w:tcPr>
            <w:tcW w:type="dxa" w:w="4680"/>
          </w:tcPr>
          <w:p>
            <w:r>
              <w:t>£1.25m–£1.5m (to be finalised in negotiation).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6. Royalty</w:t>
            </w:r>
          </w:p>
        </w:tc>
        <w:tc>
          <w:tcPr>
            <w:tcW w:type="dxa" w:w="4680"/>
          </w:tcPr>
          <w:p>
            <w:r>
              <w:t>Running royalty of 6.5%–9.0% of Net Revenue (to be finalised).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7. Minimum royalties</w:t>
            </w:r>
          </w:p>
        </w:tc>
        <w:tc>
          <w:tcPr>
            <w:tcW w:type="dxa" w:w="4680"/>
          </w:tcPr>
          <w:p>
            <w:r>
              <w:t>Year 1 £300k; Year 2 £500k; thereafter £750k p.a.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8. Term</w:t>
            </w:r>
          </w:p>
        </w:tc>
        <w:tc>
          <w:tcPr>
            <w:tcW w:type="dxa" w:w="4680"/>
          </w:tcPr>
          <w:p>
            <w:r>
              <w:t>Initial term of five to seven years, then biennial renewal.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9. Escrow</w:t>
            </w:r>
          </w:p>
        </w:tc>
        <w:tc>
          <w:tcPr>
            <w:tcW w:type="dxa" w:w="4680"/>
          </w:tcPr>
          <w:p>
            <w:r>
              <w:t>Source-code escrow with NCC Group; release on Licensor insolvency or persistent support failure.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10. Support</w:t>
            </w:r>
          </w:p>
        </w:tc>
        <w:tc>
          <w:tcPr>
            <w:tcW w:type="dxa" w:w="4680"/>
          </w:tcPr>
          <w:p>
            <w:r>
              <w:t>Support and maintenance to agreed SLAs; Updates included, Upgrades chargeable.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11. Key conditions</w:t>
            </w:r>
          </w:p>
        </w:tc>
        <w:tc>
          <w:tcPr>
            <w:tcW w:type="dxa" w:w="4680"/>
          </w:tcPr>
          <w:p>
            <w:r>
              <w:t>Satisfactory IP diligence on the Patent Family; patent-attorney validity confirmation; board approvals of both Parties.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0"/>
          <w:i/>
          <w:sz w:val="18"/>
        </w:rPr>
        <w:t>Target signing: late February 2026. Whitfield Carter LLP acts for the Licensor; Pemberton Rowe LLP acts for the Licensee.</w:t>
      </w:r>
    </w:p>
    <w:p>
      <w:pPr>
        <w:spacing w:after="120"/>
      </w:pPr>
      <w:r>
        <w:rPr>
          <w:b w:val="0"/>
          <w:i w:val="0"/>
        </w:rPr>
        <w:t>For the Licensor: Henry Larsson, CEO, Caspian Technologies Limited</w:t>
      </w:r>
    </w:p>
    <w:p>
      <w:pPr>
        <w:spacing w:after="120"/>
      </w:pPr>
      <w:r>
        <w:rPr>
          <w:b w:val="0"/>
          <w:i w:val="0"/>
        </w:rPr>
        <w:t>For the Licensee: Margaret Devereux, Group General Counsel, Hollencroft Industrial Group plc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