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30"/>
        </w:rPr>
        <w:t>MUTUAL NON-DISCLOSURE AGREEMENT</w:t>
      </w:r>
    </w:p>
    <w:p>
      <w:pPr>
        <w:spacing w:after="280"/>
        <w:jc w:val="center"/>
      </w:pPr>
      <w:r>
        <w:rPr>
          <w:b w:val="0"/>
          <w:i/>
        </w:rPr>
        <w:t>Project Umbra</w:t>
      </w:r>
    </w:p>
    <w:p>
      <w:pPr>
        <w:spacing w:after="240"/>
        <w:jc w:val="right"/>
      </w:pPr>
      <w:r>
        <w:rPr>
          <w:b/>
          <w:i w:val="0"/>
        </w:rPr>
        <w:t>DATED 6 NOVEMBER 2025</w:t>
      </w:r>
    </w:p>
    <w:p>
      <w:pPr>
        <w:spacing w:after="120"/>
      </w:pPr>
      <w:r>
        <w:rPr>
          <w:b/>
          <w:i w:val="0"/>
        </w:rPr>
        <w:t>PARTIES</w:t>
      </w:r>
    </w:p>
    <w:p>
      <w:pPr>
        <w:spacing w:after="120"/>
      </w:pPr>
      <w:r>
        <w:rPr>
          <w:b w:val="0"/>
          <w:i w:val="0"/>
        </w:rPr>
        <w:t>(1)  CASPIAN TECHNOLOGIES LIMITED, registered number 11842207, of 14 Provost Street, London N1 7NG (“Caspian”); and</w:t>
      </w:r>
    </w:p>
    <w:p>
      <w:pPr>
        <w:spacing w:after="120"/>
      </w:pPr>
      <w:r>
        <w:rPr>
          <w:b w:val="0"/>
          <w:i w:val="0"/>
        </w:rPr>
        <w:t>(2)  HOLLENCROFT INDUSTRIAL GROUP PLC, registered number 03992715, of Hollencroft House, 120 Edmund Street, Birmingham B3 2ES (“Hollencroft”).</w:t>
      </w:r>
    </w:p>
    <w:p>
      <w:pPr>
        <w:spacing w:after="120"/>
      </w:pPr>
      <w:r>
        <w:rPr>
          <w:b/>
          <w:i w:val="0"/>
        </w:rPr>
        <w:t>BACKGROUND</w:t>
      </w:r>
    </w:p>
    <w:p>
      <w:pPr>
        <w:spacing w:after="120"/>
        <w:jc w:val="both"/>
      </w:pPr>
      <w:r>
        <w:rPr>
          <w:b w:val="0"/>
          <w:i w:val="0"/>
        </w:rPr>
        <w:t>The Parties wish to explore a potential licensing arrangement under which Hollencroft would embed Caspian’s AtlasMRV carbon measurement, reporting and verification platform within Hollencroft’s supply-chain reporting product (the “Purpose”). For that purpose each Party may disclose Confidential Information to the other.</w:t>
      </w:r>
    </w:p>
    <w:p>
      <w:pPr>
        <w:spacing w:after="120"/>
      </w:pPr>
      <w:r>
        <w:rPr>
          <w:b/>
          <w:i w:val="0"/>
        </w:rPr>
        <w:t>AGREED TERMS</w:t>
      </w:r>
    </w:p>
    <w:p>
      <w:pPr>
        <w:spacing w:before="160" w:after="80"/>
      </w:pPr>
      <w:r>
        <w:rPr>
          <w:b/>
        </w:rPr>
        <w:t>1</w:t>
        <w:tab/>
      </w:r>
      <w:r>
        <w:rPr>
          <w:b/>
        </w:rPr>
        <w:t>Confidential Information</w:t>
      </w:r>
    </w:p>
    <w:p>
      <w:pPr>
        <w:spacing w:after="120"/>
        <w:ind w:left="720"/>
        <w:jc w:val="both"/>
      </w:pPr>
      <w:r>
        <w:t>1.1  “Confidential Information” means all information disclosed by or on behalf of one Party (the “Discloser”) to the other (the “Recipient”) in connection with the Purpose, whether before or after the date of this Agreement, including technical, commercial and financial information, source code, methodologies, the Licensed Patents and the existence and terms of the discussions.</w:t>
      </w:r>
    </w:p>
    <w:p>
      <w:pPr>
        <w:spacing w:after="120"/>
        <w:ind w:left="720"/>
        <w:jc w:val="both"/>
      </w:pPr>
      <w:r>
        <w:t>1.2  Confidential Information does not include information that is or becomes public other than through breach of this Agreement, was lawfully in the Recipient’s possession before disclosure, or is independently developed by the Recipient.</w:t>
      </w:r>
    </w:p>
    <w:p>
      <w:pPr>
        <w:spacing w:before="160" w:after="80"/>
      </w:pPr>
      <w:r>
        <w:rPr>
          <w:b/>
        </w:rPr>
        <w:t>2</w:t>
        <w:tab/>
      </w:r>
      <w:r>
        <w:rPr>
          <w:b/>
        </w:rPr>
        <w:t>Obligations</w:t>
      </w:r>
    </w:p>
    <w:p>
      <w:pPr>
        <w:spacing w:after="120"/>
        <w:ind w:left="720"/>
        <w:jc w:val="both"/>
      </w:pPr>
      <w:r>
        <w:t>2.1  The Recipient shall keep the Discloser’s Confidential Information confidential, use it solely for the Purpose, and disclose it only to those of its representatives who need to know it for the Purpose and who are bound by equivalent obligations.</w:t>
      </w:r>
    </w:p>
    <w:p>
      <w:pPr>
        <w:spacing w:after="120"/>
        <w:ind w:left="720"/>
        <w:jc w:val="both"/>
      </w:pPr>
      <w:r>
        <w:t>2.2  The Recipient shall not make any copies except as necessary for the Purpose and shall protect the Confidential Information using no less than reasonable care.</w:t>
      </w:r>
    </w:p>
    <w:p>
      <w:pPr>
        <w:spacing w:before="160" w:after="80"/>
      </w:pPr>
      <w:r>
        <w:rPr>
          <w:b/>
        </w:rPr>
        <w:t>3</w:t>
        <w:tab/>
      </w:r>
      <w:r>
        <w:rPr>
          <w:b/>
        </w:rPr>
        <w:t>Return and term</w:t>
      </w:r>
    </w:p>
    <w:p>
      <w:pPr>
        <w:spacing w:after="120"/>
        <w:ind w:left="720"/>
        <w:jc w:val="both"/>
      </w:pPr>
      <w:r>
        <w:t>3.1  On written request, the Recipient shall return or destroy the Confidential Information.</w:t>
      </w:r>
    </w:p>
    <w:p>
      <w:pPr>
        <w:spacing w:after="120"/>
        <w:ind w:left="720"/>
        <w:jc w:val="both"/>
      </w:pPr>
      <w:r>
        <w:t>3.2  The obligations of confidentiality survive for three years from the date of this Agreement.</w:t>
      </w:r>
    </w:p>
    <w:p>
      <w:pPr>
        <w:spacing w:before="160" w:after="80"/>
      </w:pPr>
      <w:r>
        <w:rPr>
          <w:b/>
        </w:rPr>
        <w:t>4</w:t>
        <w:tab/>
      </w:r>
      <w:r>
        <w:rPr>
          <w:b/>
        </w:rPr>
        <w:t>No licence and no obligation</w:t>
      </w:r>
    </w:p>
    <w:p>
      <w:pPr>
        <w:spacing w:after="120"/>
        <w:ind w:left="720"/>
        <w:jc w:val="both"/>
      </w:pPr>
      <w:r>
        <w:t>4.1  No licence under any Intellectual Property Right is granted by this Agreement. Neither Party is obliged to proceed with any transaction.</w:t>
      </w:r>
    </w:p>
    <w:p>
      <w:pPr>
        <w:spacing w:before="160" w:after="80"/>
      </w:pPr>
      <w:r>
        <w:rPr>
          <w:b/>
        </w:rPr>
        <w:t>5</w:t>
        <w:tab/>
      </w:r>
      <w:r>
        <w:rPr>
          <w:b/>
        </w:rPr>
        <w:t>Governing law</w:t>
      </w:r>
    </w:p>
    <w:p>
      <w:pPr>
        <w:spacing w:after="120"/>
        <w:ind w:left="720"/>
        <w:jc w:val="both"/>
      </w:pPr>
      <w:r>
        <w:t>5.1  This Agreement is governed by the law of England and Wales and the Parties submit to the exclusive jurisdiction of the English courts.</w:t>
      </w:r>
    </w:p>
    <w:p>
      <w:pPr>
        <w:spacing w:after="360"/>
      </w:pPr>
    </w:p>
    <w:p>
      <w:pPr>
        <w:spacing w:after="120"/>
      </w:pPr>
      <w:r>
        <w:rPr>
          <w:b w:val="0"/>
          <w:i w:val="0"/>
        </w:rPr>
        <w:t>Signed for CASPIAN TECHNOLOGIES LIMITED: ........................   Name: Sofia Trevino (General Counsel)</w:t>
      </w:r>
    </w:p>
    <w:p>
      <w:pPr>
        <w:spacing w:after="120"/>
      </w:pPr>
      <w:r>
        <w:rPr>
          <w:b w:val="0"/>
          <w:i w:val="0"/>
        </w:rPr>
        <w:t>Signed for HOLLENCROFT INDUSTRIAL GROUP PLC: ........................   Name: Robert Haines-Carr (General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