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i w:val="0"/>
        </w:rPr>
        <w:t>DATED 27 FEBRUARY 2026</w:t>
      </w:r>
    </w:p>
    <w:p>
      <w:pPr>
        <w:spacing w:after="120"/>
        <w:jc w:val="center"/>
      </w:pPr>
      <w:r>
        <w:rPr>
          <w:b/>
          <w:i w:val="0"/>
        </w:rPr>
        <w:t>(1)  CASPIAN TECHNOLOGIES LIMITED</w:t>
      </w:r>
    </w:p>
    <w:p>
      <w:pPr>
        <w:spacing w:after="120"/>
        <w:jc w:val="center"/>
      </w:pPr>
      <w:r>
        <w:rPr>
          <w:b w:val="0"/>
          <w:i/>
        </w:rPr>
        <w:t>and</w:t>
      </w:r>
    </w:p>
    <w:p>
      <w:pPr>
        <w:spacing w:after="480"/>
        <w:jc w:val="center"/>
      </w:pPr>
      <w:r>
        <w:rPr>
          <w:b/>
          <w:i w:val="0"/>
        </w:rPr>
        <w:t>(2)  HOLLENCROFT INDUSTRIAL GROUP PLC</w:t>
      </w:r>
    </w:p>
    <w:p>
      <w:pPr>
        <w:spacing w:after="120"/>
        <w:jc w:val="center"/>
      </w:pPr>
      <w:r>
        <w:rPr>
          <w:b w:val="0"/>
          <w:i w:val="0"/>
        </w:rPr>
        <w:t>─────────────────────────────────────────</w:t>
      </w:r>
    </w:p>
    <w:p>
      <w:pPr>
        <w:spacing w:after="120"/>
        <w:jc w:val="center"/>
      </w:pPr>
      <w:r>
        <w:rPr>
          <w:b/>
          <w:i w:val="0"/>
          <w:sz w:val="30"/>
        </w:rPr>
        <w:t>PATENT AND SOFTWARE LICENCE AGREEMENT</w:t>
      </w:r>
    </w:p>
    <w:p>
      <w:pPr>
        <w:spacing w:after="120"/>
        <w:jc w:val="center"/>
      </w:pPr>
      <w:r>
        <w:rPr>
          <w:b w:val="0"/>
          <w:i/>
        </w:rPr>
        <w:t>relating to the AtlasMRV carbon measurement, reporting and verification platform and the Licensed Patents</w:t>
      </w:r>
    </w:p>
    <w:p>
      <w:pPr>
        <w:spacing w:after="480"/>
        <w:jc w:val="center"/>
      </w:pPr>
      <w:r>
        <w:rPr>
          <w:b w:val="0"/>
          <w:i w:val="0"/>
        </w:rPr>
        <w:t>─────────────────────────────────────────</w:t>
      </w:r>
    </w:p>
    <w:p>
      <w:pPr>
        <w:spacing w:after="120"/>
        <w:jc w:val="center"/>
      </w:pPr>
      <w:r>
        <w:rPr>
          <w:b/>
          <w:i w:val="0"/>
        </w:rPr>
        <w:t>Whitfield Carter LLP</w:t>
      </w:r>
    </w:p>
    <w:p>
      <w:pPr>
        <w:spacing w:after="240"/>
        <w:jc w:val="center"/>
      </w:pPr>
      <w:r>
        <w:rPr>
          <w:b w:val="0"/>
          <w:i w:val="0"/>
          <w:sz w:val="18"/>
        </w:rPr>
        <w:t>22 Bishopsgate, London EC2N 4BQ</w:t>
      </w:r>
    </w:p>
    <w:p>
      <w:pPr>
        <w:spacing w:after="120"/>
        <w:jc w:val="center"/>
      </w:pPr>
      <w:r>
        <w:rPr>
          <w:b w:val="0"/>
          <w:i w:val="0"/>
          <w:sz w:val="16"/>
        </w:rPr>
        <w:t>Ref: SW/EM/CAS-UMBRA  •  Project Umbra</w:t>
      </w:r>
    </w:p>
    <w:p>
      <w:r>
        <w:br w:type="page"/>
      </w:r>
    </w:p>
    <w:p>
      <w:pPr>
        <w:spacing w:after="120"/>
      </w:pPr>
      <w:r>
        <w:rPr>
          <w:b/>
          <w:i w:val="0"/>
        </w:rPr>
        <w:t>THIS AGREEMENT is made on 27 February 2026</w:t>
      </w:r>
    </w:p>
    <w:p>
      <w:pPr>
        <w:spacing w:after="120"/>
      </w:pPr>
      <w:r>
        <w:rPr>
          <w:b/>
          <w:i w:val="0"/>
        </w:rPr>
        <w:t>PARTIES</w:t>
      </w:r>
    </w:p>
    <w:p>
      <w:pPr>
        <w:spacing w:after="120"/>
      </w:pPr>
      <w:r>
        <w:rPr>
          <w:b w:val="0"/>
          <w:i w:val="0"/>
        </w:rPr>
        <w:t>(1)  CASPIAN TECHNOLOGIES LIMITED, a company incorporated in England and Wales with registered number 11842207 whose registered office is at 14 Provost Street, London N1 7NG (the “Licensor”); and</w:t>
      </w:r>
    </w:p>
    <w:p>
      <w:pPr>
        <w:spacing w:after="120"/>
      </w:pPr>
      <w:r>
        <w:rPr>
          <w:b w:val="0"/>
          <w:i w:val="0"/>
        </w:rPr>
        <w:t>(2)  HOLLENCROFT INDUSTRIAL GROUP PLC, a company incorporated in England and Wales with registered number 03992715 whose registered office is at Hollencroft House, 120 Edmund Street, Birmingham B3 2ES (the “Licensee”),</w:t>
      </w:r>
    </w:p>
    <w:p>
      <w:pPr>
        <w:spacing w:after="120"/>
      </w:pPr>
      <w:r>
        <w:rPr>
          <w:b w:val="0"/>
          <w:i w:val="0"/>
        </w:rPr>
        <w:t>each a “Party” and together the “Parties”.</w:t>
      </w:r>
    </w:p>
    <w:p>
      <w:pPr>
        <w:spacing w:after="120"/>
      </w:pPr>
      <w:r>
        <w:rPr>
          <w:b/>
          <w:i w:val="0"/>
        </w:rPr>
        <w:t>BACKGROUND</w:t>
      </w:r>
    </w:p>
    <w:p>
      <w:pPr>
        <w:spacing w:after="120"/>
        <w:jc w:val="both"/>
      </w:pPr>
      <w:r>
        <w:rPr>
          <w:b w:val="0"/>
          <w:i w:val="0"/>
        </w:rPr>
        <w:t>(A)  The Licensor has developed and owns a software platform known as “AtlasMRV” for the measurement, reporting and verification of greenhouse gas emissions across industrial supply chains, together with related patented inventions concerning satellite- and sensor-derived emissions estimation.</w:t>
      </w:r>
    </w:p>
    <w:p>
      <w:pPr>
        <w:spacing w:after="120"/>
        <w:jc w:val="both"/>
      </w:pPr>
      <w:r>
        <w:rPr>
          <w:b w:val="0"/>
          <w:i w:val="0"/>
        </w:rPr>
        <w:t>(B)  The Licensee operates a multi-divisional industrial group and wishes to embed the AtlasMRV platform within its own customer-facing supply-chain reporting product marketed under the Licensee’s brand, and to obtain a licence of the Licensed Patents for that purpose.</w:t>
      </w:r>
    </w:p>
    <w:p>
      <w:pPr>
        <w:spacing w:after="120"/>
        <w:jc w:val="both"/>
      </w:pPr>
      <w:r>
        <w:rPr>
          <w:b w:val="0"/>
          <w:i w:val="0"/>
        </w:rPr>
        <w:t>(C)  The Licensor has agreed to grant to the Licensee an exclusive, field-limited licence of the Licensed Software and the Licensed Patents on the terms set out in this Agreement.</w:t>
      </w:r>
    </w:p>
    <w:p>
      <w:pPr>
        <w:spacing w:after="200"/>
      </w:pPr>
      <w:r>
        <w:rPr>
          <w:b/>
          <w:i w:val="0"/>
        </w:rPr>
        <w:t>IT IS AGREED as follows:</w:t>
      </w:r>
    </w:p>
    <w:p>
      <w:pPr>
        <w:spacing w:before="160" w:after="80"/>
      </w:pPr>
      <w:r>
        <w:rPr>
          <w:b/>
        </w:rPr>
        <w:t>1</w:t>
        <w:tab/>
      </w:r>
      <w:r>
        <w:rPr>
          <w:b/>
        </w:rPr>
        <w:t>DEFINITIONS AND INTERPRETATION</w:t>
      </w:r>
    </w:p>
    <w:p>
      <w:pPr>
        <w:spacing w:after="120"/>
        <w:ind w:left="720"/>
        <w:jc w:val="both"/>
      </w:pPr>
      <w:r>
        <w:t>1.1  In this Agreement, unless the context otherwise requires, the following definitions apply:</w:t>
      </w:r>
    </w:p>
    <w:p>
      <w:pPr>
        <w:spacing w:after="120"/>
        <w:ind w:left="720"/>
        <w:jc w:val="both"/>
      </w:pPr>
      <w:r>
        <w:rPr>
          <w:b/>
        </w:rPr>
        <w:t xml:space="preserve">“AtlasMRV” or “Licensed Software” means </w:t>
      </w:r>
      <w:r>
        <w:t>the Licensor’s proprietary carbon measurement, reporting and verification software platform in object-code and, to the extent expressly provided in Schedule 4, source-code form, comprising the modules listed in Part 1 of Schedule 1, together with all Updates and Upgrades provided under this Agreement.</w:t>
      </w:r>
    </w:p>
    <w:p>
      <w:pPr>
        <w:spacing w:after="120"/>
        <w:ind w:left="720"/>
        <w:jc w:val="both"/>
      </w:pPr>
      <w:r>
        <w:rPr>
          <w:b/>
        </w:rPr>
        <w:t xml:space="preserve">“Business Day” means </w:t>
      </w:r>
      <w:r>
        <w:t>a day other than a Saturday, Sunday or public holiday in England when banks in London are open for business.</w:t>
      </w:r>
    </w:p>
    <w:p>
      <w:pPr>
        <w:spacing w:after="120"/>
        <w:ind w:left="720"/>
        <w:jc w:val="both"/>
      </w:pPr>
      <w:r>
        <w:rPr>
          <w:b/>
        </w:rPr>
        <w:t xml:space="preserve">“Commencement Date” means </w:t>
      </w:r>
      <w:r>
        <w:t>27 February 2026.</w:t>
      </w:r>
    </w:p>
    <w:p>
      <w:pPr>
        <w:spacing w:after="120"/>
        <w:ind w:left="720"/>
        <w:jc w:val="both"/>
      </w:pPr>
      <w:r>
        <w:rPr>
          <w:b/>
        </w:rPr>
        <w:t xml:space="preserve">“Confidential Information” means </w:t>
      </w:r>
      <w:r>
        <w:t>all information of a confidential nature disclosed (whether in writing, orally or by any other means) by one Party to the other, including the terms of this Agreement, the Source Materials and the Licensor Know-How.</w:t>
      </w:r>
    </w:p>
    <w:p>
      <w:pPr>
        <w:spacing w:after="120"/>
        <w:ind w:left="720"/>
        <w:jc w:val="both"/>
      </w:pPr>
      <w:r>
        <w:rPr>
          <w:b/>
        </w:rPr>
        <w:t xml:space="preserve">“Documentation” means </w:t>
      </w:r>
      <w:r>
        <w:t>the technical and user documentation for the Licensed Software listed in Part 2 of Schedule 1, as updated from time to time.</w:t>
      </w:r>
    </w:p>
    <w:p>
      <w:pPr>
        <w:spacing w:after="120"/>
        <w:ind w:left="720"/>
        <w:jc w:val="both"/>
      </w:pPr>
      <w:r>
        <w:rPr>
          <w:b/>
        </w:rPr>
        <w:t xml:space="preserve">“Field” means </w:t>
      </w:r>
      <w:r>
        <w:t>the provision of supply-chain greenhouse gas measurement, reporting and verification functionality to the Licensee’s own customers as an embedded component of the Licensee Product, excluding any standalone resale of the Licensed Software and excluding the Reserved Sectors set out in Schedule 3.</w:t>
      </w:r>
    </w:p>
    <w:p>
      <w:pPr>
        <w:spacing w:after="120"/>
        <w:ind w:left="720"/>
        <w:jc w:val="both"/>
      </w:pPr>
      <w:r>
        <w:rPr>
          <w:b/>
        </w:rPr>
        <w:t xml:space="preserve">“Licence Fee” means </w:t>
      </w:r>
      <w:r>
        <w:t>the fees payable by the Licensee under clause 5 and Schedule 2.</w:t>
      </w:r>
    </w:p>
    <w:p>
      <w:pPr>
        <w:spacing w:after="120"/>
        <w:ind w:left="720"/>
        <w:jc w:val="both"/>
      </w:pPr>
      <w:r>
        <w:rPr>
          <w:b/>
        </w:rPr>
        <w:t xml:space="preserve">“Licensed Patents” means </w:t>
      </w:r>
      <w:r>
        <w:t>the patents and patent applications listed in Schedule 5 (the “AtlasMRV Patent Family”), together with any divisionals, continuations, reissues, extensions and foreign equivalents thereof.</w:t>
      </w:r>
    </w:p>
    <w:p>
      <w:pPr>
        <w:spacing w:after="120"/>
        <w:ind w:left="720"/>
        <w:jc w:val="both"/>
      </w:pPr>
      <w:r>
        <w:rPr>
          <w:b/>
        </w:rPr>
        <w:t xml:space="preserve">“Licensee Product” means </w:t>
      </w:r>
      <w:r>
        <w:t>the Licensee’s customer-facing supply-chain reporting product within which the Licensed Software is embedded, as more particularly described in Part 1 of Schedule 6.</w:t>
      </w:r>
    </w:p>
    <w:p>
      <w:pPr>
        <w:spacing w:after="120"/>
        <w:ind w:left="720"/>
        <w:jc w:val="both"/>
      </w:pPr>
      <w:r>
        <w:rPr>
          <w:b/>
        </w:rPr>
        <w:t xml:space="preserve">“Net Revenue” means </w:t>
      </w:r>
      <w:r>
        <w:t>the gross amounts invoiced by the Licensee to its customers in respect of the Licensee Product, less value added tax, documented third-party hosting pass-through costs and credit notes, calculated in accordance with paragraph 3 of Schedule 2.</w:t>
      </w:r>
    </w:p>
    <w:p>
      <w:pPr>
        <w:spacing w:after="120"/>
        <w:ind w:left="720"/>
        <w:jc w:val="both"/>
      </w:pPr>
      <w:r>
        <w:rPr>
          <w:b/>
        </w:rPr>
        <w:t xml:space="preserve">“Reserved Sectors” means </w:t>
      </w:r>
      <w:r>
        <w:t>the sectors and use cases reserved to the Licensor and set out in Schedule 3, in which the Licensee shall have no rights under this Agreement.</w:t>
      </w:r>
    </w:p>
    <w:p>
      <w:pPr>
        <w:spacing w:after="120"/>
        <w:ind w:left="720"/>
        <w:jc w:val="both"/>
      </w:pPr>
      <w:r>
        <w:rPr>
          <w:b/>
        </w:rPr>
        <w:t xml:space="preserve">“Source Materials” means </w:t>
      </w:r>
      <w:r>
        <w:t>the source code, build instructions and related materials for the Licensed Software to be deposited into escrow under clause 9 and the Escrow Agreement.</w:t>
      </w:r>
    </w:p>
    <w:p>
      <w:pPr>
        <w:spacing w:after="120"/>
        <w:ind w:left="720"/>
        <w:jc w:val="both"/>
      </w:pPr>
      <w:r>
        <w:rPr>
          <w:b/>
        </w:rPr>
        <w:t xml:space="preserve">“Term” means </w:t>
      </w:r>
      <w:r>
        <w:t>the term of this Agreement determined in accordance with clause 14.</w:t>
      </w:r>
    </w:p>
    <w:p>
      <w:pPr>
        <w:spacing w:after="120"/>
        <w:ind w:left="720"/>
        <w:jc w:val="both"/>
      </w:pPr>
      <w:r>
        <w:rPr>
          <w:b/>
        </w:rPr>
        <w:t xml:space="preserve">“Territory” means </w:t>
      </w:r>
      <w:r>
        <w:t>worldwide, subject to the Reserved Sectors and applicable export-control laws.</w:t>
      </w:r>
    </w:p>
    <w:p>
      <w:pPr>
        <w:spacing w:after="120"/>
        <w:ind w:left="720"/>
        <w:jc w:val="both"/>
      </w:pPr>
      <w:r>
        <w:rPr>
          <w:b/>
        </w:rPr>
        <w:t xml:space="preserve">“Updates” means </w:t>
      </w:r>
      <w:r>
        <w:t>patches, error corrections and minor functional enhancements to the Licensed Software made generally available by the Licensor at no additional charge.</w:t>
      </w:r>
    </w:p>
    <w:p>
      <w:pPr>
        <w:spacing w:after="120"/>
        <w:ind w:left="720"/>
        <w:jc w:val="both"/>
      </w:pPr>
      <w:r>
        <w:rPr>
          <w:b/>
        </w:rPr>
        <w:t xml:space="preserve">“Upgrades” means </w:t>
      </w:r>
      <w:r>
        <w:t>new versions or releases of the Licensed Software that the Licensor designates as chargeable upgrades.</w:t>
      </w:r>
    </w:p>
    <w:p>
      <w:pPr>
        <w:spacing w:after="120"/>
        <w:ind w:left="720"/>
        <w:jc w:val="both"/>
      </w:pPr>
      <w:r>
        <w:t>1.2  Clause, Schedule and paragraph headings shall not affect the interpretation of this Agreement.</w:t>
      </w:r>
    </w:p>
    <w:p>
      <w:pPr>
        <w:spacing w:after="120"/>
        <w:ind w:left="720"/>
        <w:jc w:val="both"/>
      </w:pPr>
      <w:r>
        <w:t>1.3  A reference to a statute or statutory provision is a reference to it as amended, extended or re-enacted from time to time.</w:t>
      </w:r>
    </w:p>
    <w:p>
      <w:pPr>
        <w:spacing w:after="120"/>
        <w:ind w:left="720"/>
        <w:jc w:val="both"/>
      </w:pPr>
      <w:r>
        <w:t>1.4  Any words following the terms “including”, “include”, “in particular” or “for example” shall be construed as illustrative and without limitation.</w:t>
      </w:r>
    </w:p>
    <w:p>
      <w:pPr>
        <w:spacing w:after="120"/>
        <w:ind w:left="720"/>
        <w:jc w:val="both"/>
      </w:pPr>
      <w:r>
        <w:t>1.5  In the event of any conflict between the clauses of this Agreement and any Schedule, the clauses shall prevail.</w:t>
      </w:r>
    </w:p>
    <w:p>
      <w:pPr>
        <w:spacing w:before="160" w:after="80"/>
      </w:pPr>
      <w:r>
        <w:rPr>
          <w:b/>
        </w:rPr>
        <w:t>2</w:t>
        <w:tab/>
      </w:r>
      <w:r>
        <w:rPr>
          <w:b/>
        </w:rPr>
        <w:t>GRANT OF LICENCE</w:t>
      </w:r>
    </w:p>
    <w:p>
      <w:pPr>
        <w:spacing w:after="120"/>
        <w:ind w:left="720"/>
        <w:jc w:val="both"/>
      </w:pPr>
      <w:r>
        <w:t>2.1  Subject to the terms of this Agreement and to the Licensee’s payment of the Licence Fee, the Licensor grants to the Licensee, with effect from the Commencement Date, an exclusive, non-transferable, royalty-bearing licence within the Field and the Territory to: (a) use and reproduce the Licensed Software in object-code form; (b) embed the Licensed Software within the Licensee Product; and (c) use the Licensed Patents to the extent necessary to exercise the rights granted under this clause 2.1.</w:t>
      </w:r>
    </w:p>
    <w:p>
      <w:pPr>
        <w:spacing w:after="120"/>
        <w:ind w:left="720"/>
        <w:jc w:val="both"/>
      </w:pPr>
      <w:r>
        <w:t>2.2  The exclusivity granted under clause 2.1 is conditional on the Licensee meeting the minimum annual royalty thresholds set out in paragraph 4 of Schedule 2. If the Licensee fails to meet a minimum royalty threshold in any Contract Year, the Licensor may, on 60 days’ written notice, convert the licence to a non-exclusive licence.</w:t>
      </w:r>
    </w:p>
    <w:p>
      <w:pPr>
        <w:spacing w:after="120"/>
        <w:ind w:left="720"/>
        <w:jc w:val="both"/>
      </w:pPr>
      <w:r>
        <w:t>2.3  The Licensee may grant sub-licences of the embedded Licensed Software to its end-customers solely as part of the Licensee Product and solely on terms no less protective of the Licensed Software than this Agreement. The Licensee may not otherwise sub-license, assign or sub-contract its rights without the Licensor’s prior written consent.</w:t>
      </w:r>
    </w:p>
    <w:p>
      <w:pPr>
        <w:spacing w:after="120"/>
        <w:ind w:left="720"/>
        <w:jc w:val="both"/>
      </w:pPr>
      <w:r>
        <w:t>2.4  The licence does not extend to the Reserved Sectors. The Licensee acknowledges that the Licensor retains all rights to exploit the Licensed Software and the Licensed Patents in the Reserved Sectors and outside the Field.</w:t>
      </w:r>
    </w:p>
    <w:p>
      <w:pPr>
        <w:spacing w:after="120"/>
        <w:ind w:left="720"/>
        <w:jc w:val="both"/>
      </w:pPr>
      <w:r>
        <w:t>2.5  Save as expressly set out in this Agreement, no rights are granted to the Licensee in respect of the Licensed Software, the Licensed Patents or any other Intellectual Property Rights of the Licensor.</w:t>
      </w:r>
    </w:p>
    <w:p>
      <w:pPr>
        <w:spacing w:before="160" w:after="80"/>
      </w:pPr>
      <w:r>
        <w:rPr>
          <w:b/>
        </w:rPr>
        <w:t>3</w:t>
        <w:tab/>
      </w:r>
      <w:r>
        <w:rPr>
          <w:b/>
        </w:rPr>
        <w:t>DELIVERY, IMPLEMENTATION AND ACCEPTANCE</w:t>
      </w:r>
    </w:p>
    <w:p>
      <w:pPr>
        <w:spacing w:after="120"/>
        <w:ind w:left="720"/>
        <w:jc w:val="both"/>
      </w:pPr>
      <w:r>
        <w:t>3.1  The Licensor shall deliver the Licensed Software and Documentation to the Licensee within 20 Business Days of the Commencement Date in accordance with the implementation plan in Schedule 6.</w:t>
      </w:r>
    </w:p>
    <w:p>
      <w:pPr>
        <w:spacing w:after="120"/>
        <w:ind w:left="720"/>
        <w:jc w:val="both"/>
      </w:pPr>
      <w:r>
        <w:t>3.2  The Licensee shall carry out acceptance testing against the acceptance criteria in Part 2 of Schedule 6 within 30 days of delivery. The Licensee Product shall be deemed accepted on the earlier of (a) written notice of acceptance and (b) first commercial use of the Licensee Product with an end-customer.</w:t>
      </w:r>
    </w:p>
    <w:p>
      <w:pPr>
        <w:spacing w:after="120"/>
        <w:ind w:left="720"/>
        <w:jc w:val="both"/>
      </w:pPr>
      <w:r>
        <w:t>3.3  The Licensor shall provide the implementation and integration services described in Part 3 of Schedule 6 at the rates set out in paragraph 5 of Schedule 2.</w:t>
      </w:r>
    </w:p>
    <w:p>
      <w:pPr>
        <w:spacing w:before="160" w:after="80"/>
      </w:pPr>
      <w:r>
        <w:rPr>
          <w:b/>
        </w:rPr>
        <w:t>4</w:t>
        <w:tab/>
      </w:r>
      <w:r>
        <w:rPr>
          <w:b/>
        </w:rPr>
        <w:t>INTELLECTUAL PROPERTY</w:t>
      </w:r>
    </w:p>
    <w:p>
      <w:pPr>
        <w:spacing w:after="120"/>
        <w:ind w:left="720"/>
        <w:jc w:val="both"/>
      </w:pPr>
      <w:r>
        <w:t>4.1  The Licensee acknowledges that the Licensor and its licensors own all Intellectual Property Rights in the Licensed Software, the Documentation, the Licensor Know-How and the Licensed Patents. Nothing in this Agreement operates to assign any such rights to the Licensee.</w:t>
      </w:r>
    </w:p>
    <w:p>
      <w:pPr>
        <w:spacing w:after="120"/>
        <w:ind w:left="720"/>
        <w:jc w:val="both"/>
      </w:pPr>
      <w:r>
        <w:t>4.2  All Intellectual Property Rights in any configurations, integrations or extensions to the Licensee Product created by or on behalf of the Licensee that do not incorporate or derive from the Licensed Software shall belong to the Licensee.</w:t>
      </w:r>
    </w:p>
    <w:p>
      <w:pPr>
        <w:spacing w:after="120"/>
        <w:ind w:left="720"/>
        <w:jc w:val="both"/>
      </w:pPr>
      <w:r>
        <w:t>4.3  Any improvement, modification or enhancement to the Licensed Software or the Licensed Patents conceived or developed by either Party during the Term (each an “Improvement”) shall belong to the Licensor. The Licensor grants the Licensee a licence of any such Improvement within the Field on the terms of this Agreement at no additional charge.</w:t>
      </w:r>
    </w:p>
    <w:p>
      <w:pPr>
        <w:spacing w:after="120"/>
        <w:ind w:left="720"/>
        <w:jc w:val="both"/>
      </w:pPr>
      <w:r>
        <w:t>4.4  The Licensee shall promptly notify the Licensor of any actual or suspected infringement of the Licensed Patents or misappropriation of the Licensed Software of which it becomes aware. The Licensor shall have sole conduct of any proceedings relating to the Licensed Patents.</w:t>
      </w:r>
    </w:p>
    <w:p>
      <w:pPr>
        <w:spacing w:before="160" w:after="80"/>
      </w:pPr>
      <w:r>
        <w:rPr>
          <w:b/>
        </w:rPr>
        <w:t>5</w:t>
        <w:tab/>
      </w:r>
      <w:r>
        <w:rPr>
          <w:b/>
        </w:rPr>
        <w:t>LICENCE FEE, ROYALTIES AND PAYMENT</w:t>
      </w:r>
    </w:p>
    <w:p>
      <w:pPr>
        <w:spacing w:after="120"/>
        <w:ind w:left="720"/>
        <w:jc w:val="both"/>
      </w:pPr>
      <w:r>
        <w:t>5.1  In consideration of the rights granted, the Licensee shall pay to the Licensor: (a) a one-off, non-refundable upfront licence fee of £1,500,000 (the “Upfront Fee”), payable within 30 days of the Commencement Date; and (b) a running royalty calculated as 9.0% of Net Revenue from the Licensee Product, payable quarterly in arrears in accordance with Schedule 2.</w:t>
      </w:r>
    </w:p>
    <w:p>
      <w:pPr>
        <w:spacing w:after="120"/>
        <w:ind w:left="720"/>
        <w:jc w:val="both"/>
      </w:pPr>
      <w:r>
        <w:t>5.2  The Licensee shall pay the minimum annual royalty set out in paragraph 4 of Schedule 2 to the extent that royalties actually accrued in a Contract Year fall below that amount.</w:t>
      </w:r>
    </w:p>
    <w:p>
      <w:pPr>
        <w:spacing w:after="120"/>
        <w:ind w:left="720"/>
        <w:jc w:val="both"/>
      </w:pPr>
      <w:r>
        <w:t>5.3  All sums payable under this Agreement are exclusive of VAT, which shall be added where applicable. The Licensee shall make all payments in pounds sterling without set-off or deduction save as required by law.</w:t>
      </w:r>
    </w:p>
    <w:p>
      <w:pPr>
        <w:spacing w:after="120"/>
        <w:ind w:left="720"/>
        <w:jc w:val="both"/>
      </w:pPr>
      <w:r>
        <w:t>5.4  The Licensee shall keep complete and accurate records of Net Revenue and shall permit the Licensor (or its nominated auditors) to inspect those records on reasonable notice not more than twice in any 12-month period. If an audit reveals an underpayment of more than 5%, the Licensee shall bear the reasonable cost of the audit.</w:t>
      </w:r>
    </w:p>
    <w:p>
      <w:pPr>
        <w:spacing w:after="120"/>
        <w:ind w:left="720"/>
        <w:jc w:val="both"/>
      </w:pPr>
      <w:r>
        <w:t>5.5  Interest shall accrue on overdue sums at 4% per annum above the base rate of the Bank of England from time to time.</w:t>
      </w:r>
    </w:p>
    <w:p>
      <w:pPr>
        <w:spacing w:before="160" w:after="80"/>
      </w:pPr>
      <w:r>
        <w:rPr>
          <w:b/>
        </w:rPr>
        <w:t>6</w:t>
        <w:tab/>
      </w:r>
      <w:r>
        <w:rPr>
          <w:b/>
        </w:rPr>
        <w:t>SUPPORT, MAINTENANCE AND UPDATES</w:t>
      </w:r>
    </w:p>
    <w:p>
      <w:pPr>
        <w:spacing w:after="120"/>
        <w:ind w:left="720"/>
        <w:jc w:val="both"/>
      </w:pPr>
      <w:r>
        <w:t>6.1  The Licensor shall provide support and maintenance for the Licensed Software in accordance with the service levels in Schedule 7, including the provision of Updates at no additional charge during the Term.</w:t>
      </w:r>
    </w:p>
    <w:p>
      <w:pPr>
        <w:spacing w:after="120"/>
        <w:ind w:left="720"/>
        <w:jc w:val="both"/>
      </w:pPr>
      <w:r>
        <w:t>6.2  The Licensor shall make Upgrades available to the Licensee on its standard commercial terms. The Licensee is under no obligation to take any Upgrade.</w:t>
      </w:r>
    </w:p>
    <w:p>
      <w:pPr>
        <w:spacing w:after="120"/>
        <w:ind w:left="720"/>
        <w:jc w:val="both"/>
      </w:pPr>
      <w:r>
        <w:t>6.3  The Licensor shall maintain a current copy of the Source Materials with the Escrow Agent in accordance with clause 9.</w:t>
      </w:r>
    </w:p>
    <w:p>
      <w:pPr>
        <w:spacing w:before="160" w:after="80"/>
      </w:pPr>
      <w:r>
        <w:rPr>
          <w:b/>
        </w:rPr>
        <w:t>7</w:t>
        <w:tab/>
      </w:r>
      <w:r>
        <w:rPr>
          <w:b/>
        </w:rPr>
        <w:t>WARRANTIES</w:t>
      </w:r>
    </w:p>
    <w:p>
      <w:pPr>
        <w:spacing w:after="120"/>
        <w:ind w:left="720"/>
        <w:jc w:val="both"/>
      </w:pPr>
      <w:r>
        <w:t>7.1  The Licensor warrants that: (a) it is the owner of, or otherwise has the right to license, the Licensed Software and the Licensed Patents; (b) the Licensed Software will perform materially in accordance with the Documentation for a period of 12 months from acceptance; and (c) to the best of its knowledge, the use of the Licensed Software within the Field as contemplated by this Agreement does not infringe the Intellectual Property Rights of any third party.</w:t>
      </w:r>
    </w:p>
    <w:p>
      <w:pPr>
        <w:spacing w:after="120"/>
        <w:ind w:left="720"/>
        <w:jc w:val="both"/>
      </w:pPr>
      <w:r>
        <w:t>7.2  The warranties in clause 7.1 are subject to the qualifications fairly disclosed in the Disclosure Letter of even date.</w:t>
      </w:r>
    </w:p>
    <w:p>
      <w:pPr>
        <w:spacing w:after="120"/>
        <w:ind w:left="720"/>
        <w:jc w:val="both"/>
      </w:pPr>
      <w:r>
        <w:t>7.3  Except as expressly set out in this Agreement, all warranties, conditions and terms implied by statute or common law are excluded to the fullest extent permitted by law. The Licensee acknowledges that software is not error-free.</w:t>
      </w:r>
    </w:p>
    <w:p>
      <w:pPr>
        <w:spacing w:before="160" w:after="80"/>
      </w:pPr>
      <w:r>
        <w:rPr>
          <w:b/>
        </w:rPr>
        <w:t>8</w:t>
        <w:tab/>
      </w:r>
      <w:r>
        <w:rPr>
          <w:b/>
        </w:rPr>
        <w:t>IP INDEMNITY</w:t>
      </w:r>
    </w:p>
    <w:p>
      <w:pPr>
        <w:spacing w:after="120"/>
        <w:ind w:left="720"/>
        <w:jc w:val="both"/>
      </w:pPr>
      <w:r>
        <w:t>8.1  The Licensor shall indemnify the Licensee against all reasonable damages, costs and expenses finally awarded against the Licensee arising from any claim that the Licensee’s use of the Licensed Software within the Field infringes the Intellectual Property Rights of a third party, subject to the limitations in clause 11.</w:t>
      </w:r>
    </w:p>
    <w:p>
      <w:pPr>
        <w:spacing w:after="120"/>
        <w:ind w:left="720"/>
        <w:jc w:val="both"/>
      </w:pPr>
      <w:r>
        <w:t>8.2  The indemnity in clause 8.1 shall not apply to any claim arising from (a) modification of the Licensed Software other than by the Licensor, (b) combination of the Licensed Software with items not supplied or approved by the Licensor, or (c) use outside the Field.</w:t>
      </w:r>
    </w:p>
    <w:p>
      <w:pPr>
        <w:spacing w:after="120"/>
        <w:ind w:left="720"/>
        <w:jc w:val="both"/>
      </w:pPr>
      <w:r>
        <w:t>8.3  If the Licensed Software is, or in the Licensor’s opinion is likely to become, the subject of an infringement claim, the Licensor may at its option procure the right to continue using it, modify it so it becomes non-infringing, or replace it with non-infringing software of equivalent functionality.</w:t>
      </w:r>
    </w:p>
    <w:p>
      <w:pPr>
        <w:spacing w:before="160" w:after="80"/>
      </w:pPr>
      <w:r>
        <w:rPr>
          <w:b/>
        </w:rPr>
        <w:t>9</w:t>
        <w:tab/>
      </w:r>
      <w:r>
        <w:rPr>
          <w:b/>
        </w:rPr>
        <w:t>SOURCE CODE ESCROW</w:t>
      </w:r>
    </w:p>
    <w:p>
      <w:pPr>
        <w:spacing w:after="120"/>
        <w:ind w:left="720"/>
        <w:jc w:val="both"/>
      </w:pPr>
      <w:r>
        <w:t>9.1  Within 30 days of the Commencement Date the Parties shall enter into a tripartite source-code escrow agreement with NCC Group Escrow (the “Escrow Agreement”) in respect of the Source Materials.</w:t>
      </w:r>
    </w:p>
    <w:p>
      <w:pPr>
        <w:spacing w:after="120"/>
        <w:ind w:left="720"/>
        <w:jc w:val="both"/>
      </w:pPr>
      <w:r>
        <w:t>9.2  The Licensee shall be entitled to release of the Source Materials only on the occurrence of a Release Event specified in the Escrow Agreement, including the Licensor’s insolvency or its persistent and uncured failure to provide the support and maintenance required by clause 6.</w:t>
      </w:r>
    </w:p>
    <w:p>
      <w:pPr>
        <w:spacing w:after="120"/>
        <w:ind w:left="720"/>
        <w:jc w:val="both"/>
      </w:pPr>
      <w:r>
        <w:t>9.3  On release, the Licensee may use the Source Materials solely to maintain and support the Licensed Software for use within the Field and for no other purpose.</w:t>
      </w:r>
    </w:p>
    <w:p>
      <w:pPr>
        <w:spacing w:before="160" w:after="80"/>
      </w:pPr>
      <w:r>
        <w:rPr>
          <w:b/>
        </w:rPr>
        <w:t>10</w:t>
        <w:tab/>
      </w:r>
      <w:r>
        <w:rPr>
          <w:b/>
        </w:rPr>
        <w:t>CONFIDENTIALITY AND DATA PROTECTION</w:t>
      </w:r>
    </w:p>
    <w:p>
      <w:pPr>
        <w:spacing w:after="120"/>
        <w:ind w:left="720"/>
        <w:jc w:val="both"/>
      </w:pPr>
      <w:r>
        <w:t>10.1  Each Party shall keep confidential all Confidential Information of the other Party and shall not use it except for the purposes of this Agreement. This obligation shall survive termination for a period of five years.</w:t>
      </w:r>
    </w:p>
    <w:p>
      <w:pPr>
        <w:spacing w:after="120"/>
        <w:ind w:left="720"/>
        <w:jc w:val="both"/>
      </w:pPr>
      <w:r>
        <w:t>10.2  Each Party shall comply with applicable data protection laws, including the UK GDPR and the Data Protection Act 2018, in respect of any personal data processed under this Agreement. The data-processing particulars are set out in Schedule 8.</w:t>
      </w:r>
    </w:p>
    <w:p>
      <w:pPr>
        <w:spacing w:before="160" w:after="80"/>
      </w:pPr>
      <w:r>
        <w:rPr>
          <w:b/>
        </w:rPr>
        <w:t>11</w:t>
        <w:tab/>
      </w:r>
      <w:r>
        <w:rPr>
          <w:b/>
        </w:rPr>
        <w:t>LIMITATION OF LIABILITY</w:t>
      </w:r>
    </w:p>
    <w:p>
      <w:pPr>
        <w:spacing w:after="120"/>
        <w:ind w:left="720"/>
        <w:jc w:val="both"/>
      </w:pPr>
      <w:r>
        <w:t>11.1  Nothing in this Agreement limits liability for death or personal injury caused by negligence, fraud, or any other liability that cannot be limited by law.</w:t>
      </w:r>
    </w:p>
    <w:p>
      <w:pPr>
        <w:spacing w:after="120"/>
        <w:ind w:left="720"/>
        <w:jc w:val="both"/>
      </w:pPr>
      <w:r>
        <w:t>11.2  Subject to clause 11.1, the total aggregate liability of each Party in any Contract Year shall not exceed the greater of £2,000,000 and an amount equal to 100% of the total fees paid by the Licensee under this Agreement in the 12 months preceding the date of the claim; save that the Licensor’s liability under the IP indemnity in clause 8 shall be subject to a separate aggregate cap of £4,000,000.</w:t>
      </w:r>
    </w:p>
    <w:p>
      <w:pPr>
        <w:spacing w:after="120"/>
        <w:ind w:left="720"/>
        <w:jc w:val="both"/>
      </w:pPr>
      <w:r>
        <w:t>11.3  Subject to clause 11.1, neither Party shall be liable for any loss of profit, loss of revenue, loss of anticipated savings, loss of or damage to data, or any indirect or consequential loss, in each case howsoever arising.</w:t>
      </w:r>
    </w:p>
    <w:p>
      <w:pPr>
        <w:spacing w:before="160" w:after="80"/>
      </w:pPr>
      <w:r>
        <w:rPr>
          <w:b/>
        </w:rPr>
        <w:t>12</w:t>
        <w:tab/>
      </w:r>
      <w:r>
        <w:rPr>
          <w:b/>
        </w:rPr>
        <w:t>LICENSEE OBLIGATIONS AND RESTRICTIONS</w:t>
      </w:r>
    </w:p>
    <w:p>
      <w:pPr>
        <w:spacing w:after="120"/>
        <w:ind w:left="720"/>
        <w:jc w:val="both"/>
      </w:pPr>
      <w:r>
        <w:t>12.1  The Licensee shall not (and shall not permit any third party to) decompile, disassemble or reverse engineer the Licensed Software except to the extent permitted by law, nor remove any proprietary notices.</w:t>
      </w:r>
    </w:p>
    <w:p>
      <w:pPr>
        <w:spacing w:after="120"/>
        <w:ind w:left="720"/>
        <w:jc w:val="both"/>
      </w:pPr>
      <w:r>
        <w:t>12.2  The Licensee shall use the Licensed Software in accordance with the Documentation and shall not use it outside the Field or in any Reserved Sector.</w:t>
      </w:r>
    </w:p>
    <w:p>
      <w:pPr>
        <w:spacing w:after="120"/>
        <w:ind w:left="720"/>
        <w:jc w:val="both"/>
      </w:pPr>
      <w:r>
        <w:t>12.3  The Licensee shall use the trade marks of the Licensor only as permitted under the brand guidelines in Schedule 9 and shall acknowledge the Licensor as the technology provider in the manner set out in that Schedule.</w:t>
      </w:r>
    </w:p>
    <w:p>
      <w:pPr>
        <w:spacing w:before="160" w:after="80"/>
      </w:pPr>
      <w:r>
        <w:rPr>
          <w:b/>
        </w:rPr>
        <w:t>13</w:t>
        <w:tab/>
      </w:r>
      <w:r>
        <w:rPr>
          <w:b/>
        </w:rPr>
        <w:t>FORCE MAJEURE</w:t>
      </w:r>
    </w:p>
    <w:p>
      <w:pPr>
        <w:spacing w:after="120"/>
        <w:ind w:left="720"/>
        <w:jc w:val="both"/>
      </w:pPr>
      <w:r>
        <w:t>13.1  Neither Party shall be in breach of this Agreement nor liable for delay in performing, or failure to perform, any of its obligations if such delay or failure results from a Force Majeure Event, provided the affected Party notifies the other and uses reasonable endeavours to mitigate the effect.</w:t>
      </w:r>
    </w:p>
    <w:p>
      <w:pPr>
        <w:spacing w:before="160" w:after="80"/>
      </w:pPr>
      <w:r>
        <w:rPr>
          <w:b/>
        </w:rPr>
        <w:t>14</w:t>
        <w:tab/>
      </w:r>
      <w:r>
        <w:rPr>
          <w:b/>
        </w:rPr>
        <w:t>TERM AND TERMINATION</w:t>
      </w:r>
    </w:p>
    <w:p>
      <w:pPr>
        <w:spacing w:after="120"/>
        <w:ind w:left="720"/>
        <w:jc w:val="both"/>
      </w:pPr>
      <w:r>
        <w:t>14.1  This Agreement commences on the Commencement Date and, unless terminated earlier, continues for an initial term of five years (the “Initial Term”), after which it shall renew automatically for successive periods of two years unless either Party gives not less than 12 months’ written notice to expire at the end of the Initial Term or any renewal period.</w:t>
      </w:r>
    </w:p>
    <w:p>
      <w:pPr>
        <w:spacing w:after="120"/>
        <w:ind w:left="720"/>
        <w:jc w:val="both"/>
      </w:pPr>
      <w:r>
        <w:t>14.2  Either Party may terminate this Agreement immediately on written notice if the other commits a material breach which is irremediable or, if remediable, is not remedied within 30 days of written notice, or if the other becomes insolvent.</w:t>
      </w:r>
    </w:p>
    <w:p>
      <w:pPr>
        <w:spacing w:after="120"/>
        <w:ind w:left="720"/>
        <w:jc w:val="both"/>
      </w:pPr>
      <w:r>
        <w:t>14.3  The Licensor may terminate this Agreement on 30 days’ notice if the Licensee fails to pay any undisputed sum within 30 days of its due date.</w:t>
      </w:r>
    </w:p>
    <w:p>
      <w:pPr>
        <w:spacing w:before="160" w:after="80"/>
      </w:pPr>
      <w:r>
        <w:rPr>
          <w:b/>
        </w:rPr>
        <w:t>15</w:t>
        <w:tab/>
      </w:r>
      <w:r>
        <w:rPr>
          <w:b/>
        </w:rPr>
        <w:t>CONSEQUENCES OF TERMINATION</w:t>
      </w:r>
    </w:p>
    <w:p>
      <w:pPr>
        <w:spacing w:after="120"/>
        <w:ind w:left="720"/>
        <w:jc w:val="both"/>
      </w:pPr>
      <w:r>
        <w:t>15.1  On termination or expiry, all licences granted under this Agreement shall cease (save for any sub-licences validly granted to end-customers, which shall continue for the remainder of their then-current term subject to the Licensee continuing to account for royalties).</w:t>
      </w:r>
    </w:p>
    <w:p>
      <w:pPr>
        <w:spacing w:after="120"/>
        <w:ind w:left="720"/>
        <w:jc w:val="both"/>
      </w:pPr>
      <w:r>
        <w:t>15.2  The Licensee shall, within 30 days of termination, cease all use of the Licensed Software not covered by clause 15.1 and, at the Licensor’s option, return or destroy all copies of the Licensed Software and Confidential Information.</w:t>
      </w:r>
    </w:p>
    <w:p>
      <w:pPr>
        <w:spacing w:after="120"/>
        <w:ind w:left="720"/>
        <w:jc w:val="both"/>
      </w:pPr>
      <w:r>
        <w:t>15.3  Termination shall not affect any accrued rights or liabilities of either Party. Clauses 4, 10, 11, 15, 16 and 17 shall survive termination.</w:t>
      </w:r>
    </w:p>
    <w:p>
      <w:pPr>
        <w:spacing w:before="160" w:after="80"/>
      </w:pPr>
      <w:r>
        <w:rPr>
          <w:b/>
        </w:rPr>
        <w:t>16</w:t>
        <w:tab/>
      </w:r>
      <w:r>
        <w:rPr>
          <w:b/>
        </w:rPr>
        <w:t>GENERAL</w:t>
      </w:r>
    </w:p>
    <w:p>
      <w:pPr>
        <w:spacing w:after="120"/>
        <w:ind w:left="720"/>
        <w:jc w:val="both"/>
      </w:pPr>
      <w:r>
        <w:t>16.1  Notices. Any notice under this Agreement shall be in writing and delivered by hand, pre-paid first-class post or email to the address of the relevant Party set out in Schedule 10 (or as otherwise notified).</w:t>
      </w:r>
    </w:p>
    <w:p>
      <w:pPr>
        <w:spacing w:after="120"/>
        <w:ind w:left="720"/>
        <w:jc w:val="both"/>
      </w:pPr>
      <w:r>
        <w:t>16.2  Entire agreement. This Agreement, together with the documents referred to in it, constitutes the entire agreement between the Parties and supersedes all prior agreements, including the heads of terms dated 14 November 2025.</w:t>
      </w:r>
    </w:p>
    <w:p>
      <w:pPr>
        <w:spacing w:after="120"/>
        <w:ind w:left="720"/>
        <w:jc w:val="both"/>
      </w:pPr>
      <w:r>
        <w:t>16.3  Assignment. Neither Party may assign, transfer or charge any of its rights or obligations without the prior written consent of the other, save that the Licensor may assign to a member of its group.</w:t>
      </w:r>
    </w:p>
    <w:p>
      <w:pPr>
        <w:spacing w:after="120"/>
        <w:ind w:left="720"/>
        <w:jc w:val="both"/>
      </w:pPr>
      <w:r>
        <w:t>16.4  No partnership. Nothing in this Agreement constitutes a partnership or agency between the Parties.</w:t>
      </w:r>
    </w:p>
    <w:p>
      <w:pPr>
        <w:spacing w:after="120"/>
        <w:ind w:left="720"/>
        <w:jc w:val="both"/>
      </w:pPr>
      <w:r>
        <w:t>16.5  Third-party rights. Save as expressly provided, a person who is not a Party shall have no rights under the Contracts (Rights of Third Parties) Act 1999.</w:t>
      </w:r>
    </w:p>
    <w:p>
      <w:pPr>
        <w:spacing w:after="120"/>
        <w:ind w:left="720"/>
        <w:jc w:val="both"/>
      </w:pPr>
      <w:r>
        <w:t>16.6  Variation. No variation of this Agreement shall be effective unless in writing and signed by or on behalf of each Party.</w:t>
      </w:r>
    </w:p>
    <w:p>
      <w:pPr>
        <w:spacing w:after="120"/>
        <w:ind w:left="720"/>
        <w:jc w:val="both"/>
      </w:pPr>
      <w:r>
        <w:t>16.7  Counterparts. This Agreement may be executed in any number of counterparts, each of which shall constitute an original and all of which together shall constitute one agreement.</w:t>
      </w:r>
    </w:p>
    <w:p>
      <w:pPr>
        <w:spacing w:before="160" w:after="80"/>
      </w:pPr>
      <w:r>
        <w:rPr>
          <w:b/>
        </w:rPr>
        <w:t>17</w:t>
        <w:tab/>
      </w:r>
      <w:r>
        <w:rPr>
          <w:b/>
        </w:rPr>
        <w:t>GOVERNING LAW AND JURISDICTION</w:t>
      </w:r>
    </w:p>
    <w:p>
      <w:pPr>
        <w:spacing w:after="120"/>
        <w:ind w:left="720"/>
        <w:jc w:val="both"/>
      </w:pPr>
      <w:r>
        <w:t>17.1  This Agreement and any dispute or claim arising out of or in connection with it shall be governed by and construed in accordance with the law of England and Wales.</w:t>
      </w:r>
    </w:p>
    <w:p>
      <w:pPr>
        <w:spacing w:after="120"/>
        <w:ind w:left="720"/>
        <w:jc w:val="both"/>
      </w:pPr>
      <w:r>
        <w:t>17.2  Each Party irrevocably agrees that the courts of England and Wales shall have exclusive jurisdiction to settle any dispute or claim arising out of or in connection with this Agreement.</w:t>
      </w:r>
    </w:p>
    <w:p>
      <w:r>
        <w:br w:type="page"/>
      </w:r>
    </w:p>
    <w:p>
      <w:pPr>
        <w:spacing w:after="120"/>
      </w:pPr>
      <w:r>
        <w:rPr>
          <w:b/>
          <w:i w:val="0"/>
          <w:sz w:val="24"/>
        </w:rPr>
        <w:t>SCHEDULE 1 – THE LICENSED SOFTWARE AND DOCUMENTATION</w:t>
      </w:r>
    </w:p>
    <w:p>
      <w:pPr>
        <w:spacing w:after="120"/>
      </w:pPr>
      <w:r>
        <w:rPr>
          <w:b/>
          <w:i w:val="0"/>
        </w:rPr>
        <w:t>Part 1 – Modules</w:t>
      </w:r>
    </w:p>
    <w:p>
      <w:pPr>
        <w:pStyle w:val="ListBullet"/>
      </w:pPr>
      <w:r>
        <w:t>AtlasMRV Core engine (emissions calculation and factor library)</w:t>
      </w:r>
    </w:p>
    <w:p>
      <w:pPr>
        <w:pStyle w:val="ListBullet"/>
      </w:pPr>
      <w:r>
        <w:t>AtlasMRV Supply-Chain Mapper</w:t>
      </w:r>
    </w:p>
    <w:p>
      <w:pPr>
        <w:pStyle w:val="ListBullet"/>
      </w:pPr>
      <w:r>
        <w:t>AtlasMRV Satellite Estimation Service (incorporating the Licensed Patents)</w:t>
      </w:r>
    </w:p>
    <w:p>
      <w:pPr>
        <w:pStyle w:val="ListBullet"/>
      </w:pPr>
      <w:r>
        <w:t>AtlasMRV Reporting &amp; Assurance module</w:t>
      </w:r>
    </w:p>
    <w:p>
      <w:pPr>
        <w:pStyle w:val="ListBullet"/>
      </w:pPr>
      <w:r>
        <w:t>AtlasMRV REST API and SDK</w:t>
      </w:r>
    </w:p>
    <w:p>
      <w:pPr>
        <w:spacing w:after="120"/>
      </w:pPr>
      <w:r>
        <w:rPr>
          <w:b/>
          <w:i w:val="0"/>
        </w:rPr>
        <w:t>Part 2 – Documentation</w:t>
      </w:r>
    </w:p>
    <w:p>
      <w:pPr>
        <w:spacing w:after="120"/>
      </w:pPr>
      <w:r>
        <w:rPr>
          <w:b w:val="0"/>
          <w:i w:val="0"/>
        </w:rPr>
        <w:t>Administrator Guide; Integration Guide; API Reference; Emission Factor Methodology Note v3.2.</w:t>
      </w:r>
    </w:p>
    <w:p>
      <w:pPr>
        <w:spacing w:after="120"/>
      </w:pPr>
      <w:r>
        <w:rPr>
          <w:b/>
          <w:i w:val="0"/>
          <w:sz w:val="24"/>
        </w:rPr>
        <w:t>SCHEDULE 2 – FEES AND ROYALTIES</w:t>
      </w:r>
    </w:p>
    <w:p>
      <w:pPr>
        <w:spacing w:after="120"/>
      </w:pPr>
      <w:r>
        <w:rPr>
          <w:b w:val="0"/>
          <w:i w:val="0"/>
        </w:rPr>
        <w:t>1. Upfront Fee: £1,500,000, payable within 30 days of the Commencement Date.</w:t>
      </w:r>
    </w:p>
    <w:p>
      <w:pPr>
        <w:spacing w:after="120"/>
      </w:pPr>
      <w:r>
        <w:rPr>
          <w:b w:val="0"/>
          <w:i w:val="0"/>
        </w:rPr>
        <w:t>2. Running Royalty: 9.0% of Net Revenue, payable quarterly in arrears within 30 days of each quarter end.</w:t>
      </w:r>
    </w:p>
    <w:p>
      <w:pPr>
        <w:spacing w:after="120"/>
      </w:pPr>
      <w:r>
        <w:rPr>
          <w:b w:val="0"/>
          <w:i w:val="0"/>
        </w:rPr>
        <w:t>3. Net Revenue is calculated as gross invoiced amounts for the Licensee Product less VAT, documented third-party hosting pass-through and credit notes.</w:t>
      </w:r>
    </w:p>
    <w:p>
      <w:pPr>
        <w:spacing w:after="120"/>
      </w:pPr>
      <w:r>
        <w:rPr>
          <w:b w:val="0"/>
          <w:i w:val="0"/>
        </w:rPr>
        <w:t>4. Minimum Annual Royalty: £300,000 in Contract Year 1; £500,000 in Contract Year 2; £750,000 in each Contract Year thereafter.</w:t>
      </w:r>
    </w:p>
    <w:p>
      <w:pPr>
        <w:spacing w:after="120"/>
      </w:pPr>
      <w:r>
        <w:rPr>
          <w:b w:val="0"/>
          <w:i w:val="0"/>
        </w:rPr>
        <w:t>5. Implementation services: £1,250 per consultant-day plus reasonable expenses.</w:t>
      </w:r>
    </w:p>
    <w:p>
      <w:pPr>
        <w:spacing w:after="120"/>
      </w:pPr>
      <w:r>
        <w:rPr>
          <w:b/>
          <w:i w:val="0"/>
          <w:sz w:val="24"/>
        </w:rPr>
        <w:t>SCHEDULE 3 – RESERVED SECTORS</w:t>
      </w:r>
    </w:p>
    <w:p>
      <w:pPr>
        <w:spacing w:after="120"/>
      </w:pPr>
      <w:r>
        <w:rPr>
          <w:b w:val="0"/>
          <w:i w:val="0"/>
        </w:rPr>
        <w:t>Oil &amp; gas upstream operators; sovereign and government carbon registries; voluntary carbon-market exchanges; standalone resale of the Licensed Software to software vendors.</w:t>
      </w:r>
    </w:p>
    <w:p>
      <w:pPr>
        <w:spacing w:after="120"/>
      </w:pPr>
      <w:r>
        <w:rPr>
          <w:b/>
          <w:i w:val="0"/>
          <w:sz w:val="24"/>
        </w:rPr>
        <w:t>SCHEDULE 4 – SOURCE CODE PROVISIONS</w:t>
      </w:r>
    </w:p>
    <w:p>
      <w:pPr>
        <w:spacing w:after="120"/>
      </w:pPr>
      <w:r>
        <w:rPr>
          <w:b w:val="0"/>
          <w:i w:val="0"/>
        </w:rPr>
        <w:t>Source-code form of the Licensed Software is provided solely via escrow under clause 9 and the Escrow Agreement, and may be used by the Licensee only following a Release Event and only for the permitted purposes.</w:t>
      </w:r>
    </w:p>
    <w:p>
      <w:pPr>
        <w:spacing w:after="120"/>
      </w:pPr>
      <w:r>
        <w:rPr>
          <w:b/>
          <w:i w:val="0"/>
          <w:sz w:val="24"/>
        </w:rPr>
        <w:t>SCHEDULE 5 – THE LICENSED PATENTS (ATLASMRV PATENT FAMILY)</w:t>
      </w:r>
    </w:p>
    <w:p>
      <w:pPr>
        <w:spacing w:after="120"/>
      </w:pPr>
      <w:r>
        <w:rPr>
          <w:b w:val="0"/>
          <w:i w:val="0"/>
        </w:rPr>
        <w:t>See the schedule of Licensed Patents (Project_Umbra_LicensedPatentFamily.xlsx), summarised as follows:</w:t>
      </w:r>
    </w:p>
    <w:p>
      <w:pPr>
        <w:spacing w:after="120"/>
      </w:pPr>
      <w:r>
        <w:rPr>
          <w:b w:val="0"/>
          <w:i w:val="0"/>
        </w:rPr>
        <w:t>GB2598471 – “Method for satellite-derived estimation of facility-level greenhouse gas emissions” (granted, priority 4 March 2021).</w:t>
      </w:r>
    </w:p>
    <w:p>
      <w:pPr>
        <w:spacing w:after="120"/>
      </w:pPr>
      <w:r>
        <w:rPr>
          <w:b w:val="0"/>
          <w:i w:val="0"/>
        </w:rPr>
        <w:t>EP3987654 – European equivalent (granted; validated in GB, DE, FR, NL).</w:t>
      </w:r>
    </w:p>
    <w:p>
      <w:pPr>
        <w:spacing w:after="120"/>
      </w:pPr>
      <w:r>
        <w:rPr>
          <w:b w:val="0"/>
          <w:i w:val="0"/>
        </w:rPr>
        <w:t>US11,887,123 – US equivalent (granted 30 January 2024).</w:t>
      </w:r>
    </w:p>
    <w:p>
      <w:pPr>
        <w:spacing w:after="120"/>
      </w:pPr>
      <w:r>
        <w:rPr>
          <w:b w:val="0"/>
          <w:i w:val="0"/>
        </w:rPr>
        <w:t>GB2611902 – “Sensor-fusion calibration for emissions inference” (granted, priority 18 August 2022).</w:t>
      </w:r>
    </w:p>
    <w:p>
      <w:pPr>
        <w:spacing w:after="120"/>
      </w:pPr>
      <w:r>
        <w:rPr>
          <w:b w:val="0"/>
          <w:i w:val="0"/>
        </w:rPr>
        <w:t>EP4123456 / US application 18/345,221 – pending equivalents of GB2611902.</w:t>
      </w:r>
    </w:p>
    <w:p>
      <w:pPr>
        <w:spacing w:after="120"/>
      </w:pPr>
      <w:r>
        <w:rPr>
          <w:b/>
          <w:i w:val="0"/>
          <w:sz w:val="24"/>
        </w:rPr>
        <w:t>SCHEDULE 6 – THE LICENSEE PRODUCT AND IMPLEMENTATION</w:t>
      </w:r>
    </w:p>
    <w:p>
      <w:pPr>
        <w:spacing w:after="120"/>
      </w:pPr>
      <w:r>
        <w:rPr>
          <w:b w:val="0"/>
          <w:i w:val="0"/>
        </w:rPr>
        <w:t>Part 1 – The Licensee Product: “Hollencroft Carbon Insight”, a customer-facing supply-chain emissions reporting product embedding AtlasMRV.</w:t>
      </w:r>
    </w:p>
    <w:p>
      <w:pPr>
        <w:spacing w:after="120"/>
      </w:pPr>
      <w:r>
        <w:rPr>
          <w:b w:val="0"/>
          <w:i w:val="0"/>
        </w:rPr>
        <w:t>Part 2 – Acceptance criteria: successful processing of the agreed test dataset within agreed accuracy tolerances and completion of the integration test plan.</w:t>
      </w:r>
    </w:p>
    <w:p>
      <w:pPr>
        <w:spacing w:after="120"/>
      </w:pPr>
      <w:r>
        <w:rPr>
          <w:b w:val="0"/>
          <w:i w:val="0"/>
        </w:rPr>
        <w:t>Part 3 – Implementation services: integration support, two training workshops and 30 days’ hypercare.</w:t>
      </w:r>
    </w:p>
    <w:p>
      <w:pPr>
        <w:spacing w:after="120"/>
      </w:pPr>
      <w:r>
        <w:rPr>
          <w:b/>
          <w:i w:val="0"/>
          <w:sz w:val="24"/>
        </w:rPr>
        <w:t>SCHEDULES 7–10</w:t>
      </w:r>
    </w:p>
    <w:p>
      <w:pPr>
        <w:spacing w:after="120"/>
      </w:pPr>
      <w:r>
        <w:rPr>
          <w:b w:val="0"/>
          <w:i w:val="0"/>
        </w:rPr>
        <w:t>Schedule 7 – Support and Service Levels; Schedule 8 – Data-Processing Particulars; Schedule 9 – Brand and Attribution Guidelines; Schedule 10 – Notice Details.</w:t>
      </w:r>
    </w:p>
    <w:p>
      <w:r>
        <w:br w:type="page"/>
      </w:r>
    </w:p>
    <w:p>
      <w:pPr>
        <w:spacing w:after="120"/>
      </w:pPr>
      <w:r>
        <w:rPr>
          <w:b/>
          <w:i w:val="0"/>
          <w:sz w:val="24"/>
        </w:rPr>
        <w:t>EXECUTION</w:t>
      </w:r>
    </w:p>
    <w:p>
      <w:pPr>
        <w:spacing w:after="360"/>
      </w:pPr>
      <w:r>
        <w:rPr>
          <w:b w:val="0"/>
          <w:i w:val="0"/>
        </w:rPr>
        <w:t>This Agreement has been entered into on the date stated at the beginning of it.</w:t>
      </w:r>
    </w:p>
    <w:p>
      <w:pPr>
        <w:spacing w:after="360"/>
      </w:pPr>
      <w:r>
        <w:rPr>
          <w:b w:val="0"/>
          <w:i w:val="0"/>
        </w:rPr>
        <w:t>EXECUTED for and on behalf of CASPIAN TECHNOLOGIES LIMITED:</w:t>
      </w:r>
    </w:p>
    <w:p>
      <w:pPr>
        <w:spacing w:after="120"/>
      </w:pPr>
      <w:r>
        <w:rPr>
          <w:b w:val="0"/>
          <w:i w:val="0"/>
        </w:rPr>
        <w:t>Signature:  ......................................................</w:t>
      </w:r>
    </w:p>
    <w:p>
      <w:pPr>
        <w:spacing w:after="120"/>
      </w:pPr>
      <w:r>
        <w:rPr>
          <w:b w:val="0"/>
          <w:i w:val="0"/>
        </w:rPr>
        <w:t>Name:  Henry Larsson</w:t>
      </w:r>
    </w:p>
    <w:p>
      <w:pPr>
        <w:spacing w:after="360"/>
      </w:pPr>
      <w:r>
        <w:rPr>
          <w:b w:val="0"/>
          <w:i w:val="0"/>
        </w:rPr>
        <w:t>Title:  Chief Executive Officer</w:t>
      </w:r>
    </w:p>
    <w:p>
      <w:pPr>
        <w:spacing w:after="360"/>
      </w:pPr>
      <w:r>
        <w:rPr>
          <w:b w:val="0"/>
          <w:i w:val="0"/>
        </w:rPr>
        <w:t>EXECUTED for and on behalf of HOLLENCROFT INDUSTRIAL GROUP PLC:</w:t>
      </w:r>
    </w:p>
    <w:p>
      <w:pPr>
        <w:spacing w:after="120"/>
      </w:pPr>
      <w:r>
        <w:rPr>
          <w:b w:val="0"/>
          <w:i w:val="0"/>
        </w:rPr>
        <w:t>Signature:  ......................................................</w:t>
      </w:r>
    </w:p>
    <w:p>
      <w:pPr>
        <w:spacing w:after="120"/>
      </w:pPr>
      <w:r>
        <w:rPr>
          <w:b w:val="0"/>
          <w:i w:val="0"/>
        </w:rPr>
        <w:t>Name:  Margaret Devereux</w:t>
      </w:r>
    </w:p>
    <w:p>
      <w:pPr>
        <w:spacing w:after="120"/>
      </w:pPr>
      <w:r>
        <w:rPr>
          <w:b w:val="0"/>
          <w:i w:val="0"/>
        </w:rPr>
        <w:t>Title:  Group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