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28"/>
        </w:rPr>
        <w:t>SOURCE CODE ESCROW AGREEMENT</w:t>
      </w:r>
    </w:p>
    <w:p>
      <w:pPr>
        <w:spacing w:after="160"/>
        <w:jc w:val="center"/>
      </w:pPr>
      <w:r>
        <w:rPr>
          <w:b w:val="0"/>
          <w:i/>
        </w:rPr>
        <w:t>Project Umbra — AtlasMRV</w:t>
      </w:r>
    </w:p>
    <w:p>
      <w:pPr>
        <w:spacing w:after="200"/>
        <w:jc w:val="right"/>
      </w:pPr>
      <w:r>
        <w:rPr>
          <w:b/>
          <w:i w:val="0"/>
        </w:rPr>
        <w:t>Dated 27 February 2026</w:t>
      </w:r>
    </w:p>
    <w:p>
      <w:pPr>
        <w:spacing w:after="120"/>
      </w:pPr>
      <w:r>
        <w:rPr>
          <w:b/>
          <w:i w:val="0"/>
        </w:rPr>
        <w:t>PARTIES</w:t>
      </w:r>
    </w:p>
    <w:p>
      <w:pPr>
        <w:spacing w:after="120"/>
      </w:pPr>
      <w:r>
        <w:rPr>
          <w:b w:val="0"/>
          <w:i w:val="0"/>
        </w:rPr>
        <w:t>(1)  CASPIAN TECHNOLOGIES LIMITED (the “Owner”);</w:t>
      </w:r>
    </w:p>
    <w:p>
      <w:pPr>
        <w:spacing w:after="120"/>
      </w:pPr>
      <w:r>
        <w:rPr>
          <w:b w:val="0"/>
          <w:i w:val="0"/>
        </w:rPr>
        <w:t>(2)  HOLLENCROFT INDUSTRIAL GROUP PLC (the “Licensee”); and</w:t>
      </w:r>
    </w:p>
    <w:p>
      <w:pPr>
        <w:spacing w:after="120"/>
      </w:pPr>
      <w:r>
        <w:rPr>
          <w:b w:val="0"/>
          <w:i w:val="0"/>
        </w:rPr>
        <w:t>(3)  NCC GROUP ESCROW LIMITED (the “Escrow Agent”).</w:t>
      </w:r>
    </w:p>
    <w:p>
      <w:pPr>
        <w:spacing w:before="160" w:after="80"/>
      </w:pPr>
      <w:r>
        <w:rPr>
          <w:b/>
        </w:rPr>
        <w:t>1</w:t>
        <w:tab/>
      </w:r>
      <w:r>
        <w:rPr>
          <w:b/>
        </w:rPr>
        <w:t>Deposit of Source Materials</w:t>
      </w:r>
    </w:p>
    <w:p>
      <w:pPr>
        <w:spacing w:after="120"/>
        <w:ind w:left="720"/>
        <w:jc w:val="both"/>
      </w:pPr>
      <w:r>
        <w:t>1.1  Within 30 days of the date of this Agreement, and thereafter on each material release of the Licensed Software, the Owner shall deposit with the Escrow Agent a full copy of the Source Materials, comprising source code, build scripts, configuration and documentation sufficient to maintain the Licensed Software.</w:t>
      </w:r>
    </w:p>
    <w:p>
      <w:pPr>
        <w:spacing w:after="120"/>
        <w:ind w:left="720"/>
        <w:jc w:val="both"/>
      </w:pPr>
      <w:r>
        <w:t>1.2  The Owner shall verify the completeness of each deposit and, if requested by the Licensee, the Parties shall procure a Level 2 verification test by the Escrow Agent.</w:t>
      </w:r>
    </w:p>
    <w:p>
      <w:pPr>
        <w:spacing w:before="160" w:after="80"/>
      </w:pPr>
      <w:r>
        <w:rPr>
          <w:b/>
        </w:rPr>
        <w:t>2</w:t>
        <w:tab/>
      </w:r>
      <w:r>
        <w:rPr>
          <w:b/>
        </w:rPr>
        <w:t>Release Events</w:t>
      </w:r>
    </w:p>
    <w:p>
      <w:pPr>
        <w:spacing w:after="120"/>
        <w:ind w:left="720"/>
        <w:jc w:val="both"/>
      </w:pPr>
      <w:r>
        <w:t>2.1  The Escrow Agent shall release the Source Materials to the Licensee on the occurrence of any of the following Release Events: (a) the Owner enters insolvency or ceases to carry on business; (b) the Owner assigns the Licensed Software and the assignee fails to assume the support obligations; or (c) the Owner is in persistent material breach of its support and maintenance obligations under clause 6 of the Licence Agreement and has failed to remedy that breach within 30 days of written notice.</w:t>
      </w:r>
    </w:p>
    <w:p>
      <w:pPr>
        <w:spacing w:after="120"/>
        <w:ind w:left="720"/>
        <w:jc w:val="both"/>
      </w:pPr>
      <w:r>
        <w:t>2.2  On a Release Event the Licensee may use the Source Materials solely to maintain and support the Licensed Software for use within the Field.</w:t>
      </w:r>
    </w:p>
    <w:p>
      <w:pPr>
        <w:spacing w:before="160" w:after="80"/>
      </w:pPr>
      <w:r>
        <w:rPr>
          <w:b/>
        </w:rPr>
        <w:t>3</w:t>
        <w:tab/>
      </w:r>
      <w:r>
        <w:rPr>
          <w:b/>
        </w:rPr>
        <w:t>Fees and term</w:t>
      </w:r>
    </w:p>
    <w:p>
      <w:pPr>
        <w:spacing w:after="120"/>
        <w:ind w:left="720"/>
        <w:jc w:val="both"/>
      </w:pPr>
      <w:r>
        <w:t>3.1  The escrow fees shall be borne by the Licensee. This Agreement continues for so long as the Licence Agreement remains in force.</w:t>
      </w:r>
    </w:p>
    <w:p>
      <w:pPr>
        <w:spacing w:before="160" w:after="80"/>
      </w:pPr>
      <w:r>
        <w:rPr>
          <w:b/>
        </w:rPr>
        <w:t>4</w:t>
        <w:tab/>
      </w:r>
      <w:r>
        <w:rPr>
          <w:b/>
        </w:rPr>
        <w:t>Governing law</w:t>
      </w:r>
    </w:p>
    <w:p>
      <w:pPr>
        <w:spacing w:after="120"/>
        <w:ind w:left="720"/>
        <w:jc w:val="both"/>
      </w:pPr>
      <w:r>
        <w:t>4.1  This Agreement is governed by the law of England and Wales.</w:t>
      </w:r>
    </w:p>
    <w:p>
      <w:pPr>
        <w:spacing w:after="120"/>
      </w:pPr>
      <w:r>
        <w:rPr>
          <w:b w:val="0"/>
          <w:i/>
        </w:rPr>
        <w:t>Signed for and on behalf of each Party by its duly authorised representative.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