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color w:val="1F3864"/>
          <w:sz w:val="28"/>
          <w:szCs w:val="28"/>
        </w:rPr>
        <w:t xml:space="preserve">Whitfield Carter LLP</w:t>
      </w:r>
    </w:p>
    <w:p>
      <w:pPr>
        <w:pBdr>
          <w:bottom w:val="single" w:color="1F3864" w:sz="6" w:space="2"/>
        </w:pBdr>
        <w:spacing w:after="200"/>
      </w:pPr>
      <w:r>
        <w:rPr>
          <w:color w:val="666666"/>
          <w:sz w:val="16"/>
          <w:szCs w:val="16"/>
        </w:rPr>
        <w:t xml:space="preserve">22 Bishopsgate, London EC2N 4BQ   |   www.whitfieldcarter.com   |   +44 (0)20 7946 0100</w:t>
      </w:r>
    </w:p>
    <w:p>
      <w:pPr>
        <w:spacing w:after="160" w:before="0"/>
        <w:jc w:val="both"/>
      </w:pPr>
      <w:r>
        <w:rPr>
          <w:b/>
          <w:bCs/>
          <w:i w:val="false"/>
          <w:iCs w:val="false"/>
          <w:sz w:val="22"/>
          <w:szCs w:val="22"/>
        </w:rPr>
        <w:t xml:space="preserve">PRIVILEGED &amp; CONFIDENTIAL – INTERNAL CONTRACT REVIEW NOTE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600"/>
        <w:gridCol w:w="6560"/>
      </w:tblGrid>
      <w:tr>
        <w:trPr>
          <w:tblHeader/>
        </w:trPr>
        <w:tc>
          <w:tcPr>
            <w:tcW w:type="dxa" w:w="26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sz w:val="18"/>
                <w:szCs w:val="18"/>
              </w:rPr>
              <w:t xml:space="preserve">Field</w:t>
            </w:r>
          </w:p>
        </w:tc>
        <w:tc>
          <w:tcPr>
            <w:tcW w:type="dxa" w:w="656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sz w:val="18"/>
                <w:szCs w:val="18"/>
              </w:rPr>
              <w:t xml:space="preserve">Detail</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Matter</w:t>
            </w:r>
          </w:p>
        </w:tc>
        <w:tc>
          <w:tcPr>
            <w:tcW w:type="dxa" w:w="6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WC-00109 – Caspian / Stratton Energy Master SaaS Agreement</w:t>
            </w:r>
          </w:p>
        </w:tc>
      </w:tr>
      <w:tr>
        <w:trPr>
          <w:tblHeader w:val="false"/>
        </w:trPr>
        <w:tc>
          <w:tcPr>
            <w:tcW w:type="dxa" w:w="26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Client</w:t>
            </w:r>
          </w:p>
        </w:tc>
        <w:tc>
          <w:tcPr>
            <w:tcW w:type="dxa" w:w="65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Caspian Technologies Limited</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Counterparty</w:t>
            </w:r>
          </w:p>
        </w:tc>
        <w:tc>
          <w:tcPr>
            <w:tcW w:type="dxa" w:w="6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Stratton Energy plc (advised by Denham Lewis LLP – Adam Selby, Partner; Marcus Webb, Associate)</w:t>
            </w:r>
          </w:p>
        </w:tc>
      </w:tr>
      <w:tr>
        <w:trPr>
          <w:tblHeader w:val="false"/>
        </w:trPr>
        <w:tc>
          <w:tcPr>
            <w:tcW w:type="dxa" w:w="26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Prepared by</w:t>
            </w:r>
          </w:p>
        </w:tc>
        <w:tc>
          <w:tcPr>
            <w:tcW w:type="dxa" w:w="65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Elena Marchetti (Associate)</w:t>
            </w:r>
          </w:p>
        </w:tc>
      </w:tr>
      <w:tr>
        <w:trPr>
          <w:tblHeader w:val="false"/>
        </w:trPr>
        <w:tc>
          <w:tcPr>
            <w:tcW w:type="dxa" w:w="26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Reviewed by</w:t>
            </w:r>
          </w:p>
        </w:tc>
        <w:tc>
          <w:tcPr>
            <w:tcW w:type="dxa" w:w="65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sz w:val="19"/>
                <w:szCs w:val="19"/>
              </w:rPr>
              <w:t xml:space="preserve">James Osei (Senior Associate); Sarah Whitfield (Partner)</w:t>
            </w:r>
          </w:p>
        </w:tc>
      </w:tr>
      <w:tr>
        <w:trPr>
          <w:tblHeader w:val="false"/>
        </w:trPr>
        <w:tc>
          <w:tcPr>
            <w:tcW w:type="dxa" w:w="26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Date</w:t>
            </w:r>
          </w:p>
        </w:tc>
        <w:tc>
          <w:tcPr>
            <w:tcW w:type="dxa" w:w="65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sz w:val="19"/>
                <w:szCs w:val="19"/>
              </w:rPr>
              <w:t xml:space="preserve">26 May 2026</w:t>
            </w:r>
          </w:p>
        </w:tc>
      </w:tr>
    </w:tbl>
    <w:p>
      <w:pPr>
        <w:keepNext/>
        <w:spacing w:after="120" w:before="220"/>
      </w:pPr>
      <w:r>
        <w:rPr>
          <w:b/>
          <w:bCs/>
          <w:sz w:val="24"/>
          <w:szCs w:val="24"/>
        </w:rPr>
        <w:t xml:space="preserve">1.  Purpose</w:t>
      </w:r>
    </w:p>
    <w:p>
      <w:pPr>
        <w:spacing w:after="120" w:before="0"/>
        <w:jc w:val="both"/>
      </w:pPr>
      <w:r>
        <w:rPr>
          <w:b w:val="false"/>
          <w:bCs w:val="false"/>
          <w:i w:val="false"/>
          <w:iCs w:val="false"/>
          <w:sz w:val="21"/>
          <w:szCs w:val="21"/>
        </w:rPr>
        <w:t xml:space="preserve">This note records the key negotiated positions on the Caspian / Stratton Energy Master Software-as-a-Service Agreement (the “MSA”), which was executed on 22 May 2026, and flags points for ongoing contract management. It is intended for the file and for the client’s commercial and legal teams. It is privileged and should not be circulated externally.</w:t>
      </w:r>
    </w:p>
    <w:p>
      <w:pPr>
        <w:keepNext/>
        <w:spacing w:after="120" w:before="220"/>
      </w:pPr>
      <w:r>
        <w:rPr>
          <w:b/>
          <w:bCs/>
          <w:sz w:val="24"/>
          <w:szCs w:val="24"/>
        </w:rPr>
        <w:t xml:space="preserve">2.  Transaction overview</w:t>
      </w:r>
    </w:p>
    <w:p>
      <w:pPr>
        <w:spacing w:after="120" w:before="0"/>
        <w:jc w:val="both"/>
      </w:pPr>
      <w:r>
        <w:rPr>
          <w:b w:val="false"/>
          <w:bCs w:val="false"/>
          <w:i w:val="false"/>
          <w:iCs w:val="false"/>
          <w:sz w:val="21"/>
          <w:szCs w:val="21"/>
        </w:rPr>
        <w:t xml:space="preserve">The MSA governs Stratton Energy’s enterprise subscription to the Caspian Climate Intelligence Platform (Enterprise tier) for Scope 1, 2 and 3 emissions measurement, analytics and disclosure reporting across its UK and European operations, for up to 250 Authorised Users. The Initial Term is 36 months from a target Go-Live of 1 July 2026. The documentation comprises the MSA and three Schedules (Statement of Work, Service Level Agreement and Data Processing Agreement).</w:t>
      </w:r>
    </w:p>
    <w:p>
      <w:pPr>
        <w:keepNext/>
        <w:spacing w:after="120" w:before="220"/>
      </w:pPr>
      <w:r>
        <w:rPr>
          <w:b/>
          <w:bCs/>
          <w:sz w:val="24"/>
          <w:szCs w:val="24"/>
        </w:rPr>
        <w:t xml:space="preserve">3.  Key commercial terms (as executed)</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3200"/>
        <w:gridCol w:w="5960"/>
      </w:tblGrid>
      <w:tr>
        <w:trPr>
          <w:tblHeader/>
        </w:trPr>
        <w:tc>
          <w:tcPr>
            <w:tcW w:type="dxa" w:w="320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Term</w:t>
            </w:r>
          </w:p>
        </w:tc>
        <w:tc>
          <w:tcPr>
            <w:tcW w:type="dxa" w:w="5960"/>
            <w:tcBorders>
              <w:top w:val="single" w:color="BBBBBB" w:sz="2"/>
              <w:left w:val="single" w:color="BBBBBB" w:sz="2"/>
              <w:bottom w:val="single" w:color="BBBBBB" w:sz="2"/>
              <w:right w:val="single" w:color="BBBBBB" w:sz="2"/>
            </w:tcBorders>
            <w:shd w:fill="1F3864" w:val="clear"/>
            <w:tcMar>
              <w:top w:type="dxa" w:w="60"/>
              <w:left w:type="dxa" w:w="110"/>
              <w:bottom w:type="dxa" w:w="60"/>
              <w:right w:type="dxa" w:w="110"/>
            </w:tcMar>
          </w:tcPr>
          <w:p>
            <w:r>
              <w:rPr>
                <w:b/>
                <w:bCs/>
                <w:color w:val="FFFFFF"/>
                <w:sz w:val="18"/>
                <w:szCs w:val="18"/>
              </w:rPr>
              <w:t xml:space="preserve">Position (executed)</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Initial Term</w:t>
            </w:r>
          </w:p>
        </w:tc>
        <w:tc>
          <w:tcPr>
            <w:tcW w:type="dxa" w:w="5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36 months from Go-Live (target 1 July 2026); auto-renewal 12 months; 90 days’ non-renewal notice</w:t>
            </w:r>
          </w:p>
        </w:tc>
      </w:tr>
      <w:tr>
        <w:trPr>
          <w:tblHeader w:val="false"/>
        </w:trPr>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Annual Subscription Fee</w:t>
            </w:r>
          </w:p>
        </w:tc>
        <w:tc>
          <w:tcPr>
            <w:tcW w:type="dxa" w:w="59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£450,000 (yr 1); +5% p.a. (£472,500 yr 2; £496,125 yr 3)</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Implementation Fee</w:t>
            </w:r>
          </w:p>
        </w:tc>
        <w:tc>
          <w:tcPr>
            <w:tcW w:type="dxa" w:w="5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£85,000 one-off, invoiced on signature</w:t>
            </w:r>
          </w:p>
        </w:tc>
      </w:tr>
      <w:tr>
        <w:trPr>
          <w:tblHeader w:val="false"/>
        </w:trPr>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Professional services</w:t>
            </w:r>
          </w:p>
        </w:tc>
        <w:tc>
          <w:tcPr>
            <w:tcW w:type="dxa" w:w="59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£1,250/day; ~40 days estimated year 1 (£50,000)</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Total contract value</w:t>
            </w:r>
          </w:p>
        </w:tc>
        <w:tc>
          <w:tcPr>
            <w:tcW w:type="dxa" w:w="5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~£1,553,625 over the Initial Term (subscription + implementation + year-1 PS)</w:t>
            </w:r>
          </w:p>
        </w:tc>
      </w:tr>
      <w:tr>
        <w:trPr>
          <w:tblHeader w:val="false"/>
        </w:trPr>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Service Level</w:t>
            </w:r>
          </w:p>
        </w:tc>
        <w:tc>
          <w:tcPr>
            <w:tcW w:type="dxa" w:w="59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99.8% monthly availability; tiered service credits (5% / 10% / 20%)</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Payment terms</w:t>
            </w:r>
          </w:p>
        </w:tc>
        <w:tc>
          <w:tcPr>
            <w:tcW w:type="dxa" w:w="5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Annually in advance; 45 days</w:t>
            </w:r>
          </w:p>
        </w:tc>
      </w:tr>
      <w:tr>
        <w:trPr>
          <w:tblHeader w:val="false"/>
        </w:trPr>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Liability cap</w:t>
            </w:r>
          </w:p>
        </w:tc>
        <w:tc>
          <w:tcPr>
            <w:tcW w:type="dxa" w:w="59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150% of trailing 12-month Fees; standard carve-outs uncapped</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Termination for convenience</w:t>
            </w:r>
          </w:p>
        </w:tc>
        <w:tc>
          <w:tcPr>
            <w:tcW w:type="dxa" w:w="5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Customer only, after Initial Term, on 180 days’ notice</w:t>
            </w:r>
          </w:p>
        </w:tc>
      </w:tr>
      <w:tr>
        <w:trPr>
          <w:tblHeader w:val="false"/>
        </w:trPr>
        <w:tc>
          <w:tcPr>
            <w:tcW w:type="dxa" w:w="320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Data hosting</w:t>
            </w:r>
          </w:p>
        </w:tc>
        <w:tc>
          <w:tcPr>
            <w:tcW w:type="dxa" w:w="5960"/>
            <w:tcBorders>
              <w:top w:val="single" w:color="BBBBBB" w:sz="2"/>
              <w:left w:val="single" w:color="BBBBBB" w:sz="2"/>
              <w:bottom w:val="single" w:color="BBBBBB" w:sz="2"/>
              <w:right w:val="single" w:color="BBBBBB" w:sz="2"/>
            </w:tcBorders>
            <w:shd w:fill="F2F5FA" w:val="clear"/>
            <w:tcMar>
              <w:top w:type="dxa" w:w="60"/>
              <w:left w:type="dxa" w:w="110"/>
              <w:bottom w:type="dxa" w:w="60"/>
              <w:right w:type="dxa" w:w="110"/>
            </w:tcMar>
          </w:tcPr>
          <w:p>
            <w:r>
              <w:rPr>
                <w:b w:val="false"/>
                <w:bCs w:val="false"/>
                <w:color w:val="000000"/>
                <w:sz w:val="19"/>
                <w:szCs w:val="19"/>
              </w:rPr>
              <w:t xml:space="preserve">UK hosting; EEA sub-processors permitted with appropriate safeguards and 30 days’ change notice</w:t>
            </w:r>
          </w:p>
        </w:tc>
      </w:tr>
      <w:tr>
        <w:trPr>
          <w:tblHeader w:val="false"/>
        </w:trPr>
        <w:tc>
          <w:tcPr>
            <w:tcW w:type="dxa" w:w="320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Governing law</w:t>
            </w:r>
          </w:p>
        </w:tc>
        <w:tc>
          <w:tcPr>
            <w:tcW w:type="dxa" w:w="5960"/>
            <w:tcBorders>
              <w:top w:val="single" w:color="BBBBBB" w:sz="2"/>
              <w:left w:val="single" w:color="BBBBBB" w:sz="2"/>
              <w:bottom w:val="single" w:color="BBBBBB" w:sz="2"/>
              <w:right w:val="single" w:color="BBBBBB" w:sz="2"/>
            </w:tcBorders>
            <w:shd w:fill="FFFFFF" w:val="clear"/>
            <w:tcMar>
              <w:top w:type="dxa" w:w="60"/>
              <w:left w:type="dxa" w:w="110"/>
              <w:bottom w:type="dxa" w:w="60"/>
              <w:right w:type="dxa" w:w="110"/>
            </w:tcMar>
          </w:tcPr>
          <w:p>
            <w:r>
              <w:rPr>
                <w:b w:val="false"/>
                <w:bCs w:val="false"/>
                <w:color w:val="000000"/>
                <w:sz w:val="19"/>
                <w:szCs w:val="19"/>
              </w:rPr>
              <w:t xml:space="preserve">England and Wales; exclusive jurisdiction of the English courts</w:t>
            </w:r>
          </w:p>
        </w:tc>
      </w:tr>
    </w:tbl>
    <w:p>
      <w:pPr>
        <w:keepNext/>
        <w:spacing w:after="120" w:before="220"/>
      </w:pPr>
      <w:r>
        <w:rPr>
          <w:b/>
          <w:bCs/>
          <w:sz w:val="24"/>
          <w:szCs w:val="24"/>
        </w:rPr>
        <w:t xml:space="preserve">4.  Negotiation summary</w:t>
      </w:r>
    </w:p>
    <w:p>
      <w:pPr>
        <w:spacing w:after="120" w:before="0"/>
        <w:jc w:val="both"/>
      </w:pPr>
      <w:r>
        <w:rPr>
          <w:b w:val="false"/>
          <w:bCs w:val="false"/>
          <w:i w:val="false"/>
          <w:iCs w:val="false"/>
          <w:sz w:val="21"/>
          <w:szCs w:val="21"/>
        </w:rPr>
        <w:t xml:space="preserve">The deal moved through three drafts. Our first draft (version 1, 14 April 2026) opened at 99.5% availability, a 100% liability cap, 30-day payment terms, no termination for convenience during the Initial Term, and UK or EEA hosting. Denham Lewis returned their mark-up (version 2, 24 April 2026) pressing for: (i) termination for convenience by either party at any time on 90 days’ notice; (ii) 99.9% availability; (iii) UK-only hosting; (iv) 60-day payment terms; and (v) a 200% liability cap.</w:t>
      </w:r>
    </w:p>
    <w:p>
      <w:pPr>
        <w:spacing w:after="120" w:before="0"/>
        <w:jc w:val="both"/>
      </w:pPr>
      <w:r>
        <w:rPr>
          <w:b w:val="false"/>
          <w:bCs w:val="false"/>
          <w:i w:val="false"/>
          <w:iCs w:val="false"/>
          <w:sz w:val="21"/>
          <w:szCs w:val="21"/>
        </w:rPr>
        <w:t xml:space="preserve">Following the negotiation call on 12 May 2026, the compromise reflected in our version 3 response (13 May 2026) and carried into the execution version was: termination for convenience restricted to the Customer and only after the Initial Term on 180 days’ notice; 99.8% availability; UK hosting with EEA sub-processors permitted subject to appropriate safeguards; 45-day payment terms; and a 150% liability cap with the standard carve-outs (death/personal injury, fraud, confidentiality, IP indemnity and data protection) remaining uncapped.</w:t>
      </w:r>
    </w:p>
    <w:p>
      <w:pPr>
        <w:keepNext/>
        <w:spacing w:after="120" w:before="220"/>
      </w:pPr>
      <w:r>
        <w:rPr>
          <w:b/>
          <w:bCs/>
          <w:sz w:val="24"/>
          <w:szCs w:val="24"/>
        </w:rPr>
        <w:t xml:space="preserve">5.  Schedules</w:t>
      </w:r>
    </w:p>
    <w:p>
      <w:pPr>
        <w:spacing w:after="120" w:before="0"/>
        <w:jc w:val="both"/>
      </w:pPr>
      <w:r>
        <w:rPr>
          <w:b w:val="false"/>
          <w:bCs w:val="false"/>
          <w:i w:val="false"/>
          <w:iCs w:val="false"/>
          <w:sz w:val="21"/>
          <w:szCs w:val="21"/>
        </w:rPr>
        <w:t xml:space="preserve">Schedule 1 (SOW) sets out a five-phase implementation to a 1 July 2026 Go-Live, with acceptance testing and an £85,000 onboarding scope covering up to eight source-system integrations and training of up to 40 users. Schedule 2 (SLA) fixes 99.8% availability, an eight-hour monthly maintenance window, the 5% / 10% / 20% service-credit grid (capped at 20% per month), and P1–P4 support targets. Schedule 3 (DPA) confirms controller/processor roles, UK hosting with EEA sub-processors, ISO/IEC 27001 certification, a 48-hour breach-notification window, the approved sub-processor list and a 30-day change-notice right.</w:t>
      </w:r>
    </w:p>
    <w:p>
      <w:pPr>
        <w:keepNext/>
        <w:spacing w:after="120" w:before="220"/>
      </w:pPr>
      <w:r>
        <w:rPr>
          <w:b/>
          <w:bCs/>
          <w:sz w:val="24"/>
          <w:szCs w:val="24"/>
        </w:rPr>
        <w:t xml:space="preserve">6.  Action points and diary dates</w:t>
      </w:r>
    </w:p>
    <w:p>
      <w:pPr>
        <w:tabs>
          <w:tab w:val="left" w:pos="567"/>
        </w:tabs>
        <w:spacing w:after="120"/>
        <w:ind w:left="567" w:hanging="567"/>
        <w:jc w:val="both"/>
      </w:pPr>
      <w:r>
        <w:rPr>
          <w:sz w:val="21"/>
          <w:szCs w:val="21"/>
        </w:rPr>
        <w:t xml:space="preserve">6.1	Diarise the Initial Term expiry (36 months from the confirmed Go-Live Date) and the 90-day non-renewal notice window.</w:t>
      </w:r>
    </w:p>
    <w:p>
      <w:pPr>
        <w:tabs>
          <w:tab w:val="left" w:pos="567"/>
        </w:tabs>
        <w:spacing w:after="120"/>
        <w:ind w:left="567" w:hanging="567"/>
        <w:jc w:val="both"/>
      </w:pPr>
      <w:r>
        <w:rPr>
          <w:sz w:val="21"/>
          <w:szCs w:val="21"/>
        </w:rPr>
        <w:t xml:space="preserve">6.2	Track the 5% annual uplift on each Go-Live anniversary (£472,500 in year 2; £496,125 in year 3).</w:t>
      </w:r>
    </w:p>
    <w:p>
      <w:pPr>
        <w:tabs>
          <w:tab w:val="left" w:pos="567"/>
        </w:tabs>
        <w:spacing w:after="120"/>
        <w:ind w:left="567" w:hanging="567"/>
        <w:jc w:val="both"/>
      </w:pPr>
      <w:r>
        <w:rPr>
          <w:sz w:val="21"/>
          <w:szCs w:val="21"/>
        </w:rPr>
        <w:t xml:space="preserve">6.3	Confirm the £85,000 implementation fee is invoiced on signature and the year-1 subscription annually in advance, on 45-day terms.</w:t>
      </w:r>
    </w:p>
    <w:p>
      <w:pPr>
        <w:tabs>
          <w:tab w:val="left" w:pos="567"/>
        </w:tabs>
        <w:spacing w:after="120"/>
        <w:ind w:left="567" w:hanging="567"/>
        <w:jc w:val="both"/>
      </w:pPr>
      <w:r>
        <w:rPr>
          <w:sz w:val="21"/>
          <w:szCs w:val="21"/>
        </w:rPr>
        <w:t xml:space="preserve">6.4	Maintain and review the approved sub-processor list; ensure 30 days’ notice is given for any change.</w:t>
      </w:r>
    </w:p>
    <w:p>
      <w:pPr>
        <w:tabs>
          <w:tab w:val="left" w:pos="567"/>
        </w:tabs>
        <w:spacing w:after="120"/>
        <w:ind w:left="567" w:hanging="567"/>
        <w:jc w:val="both"/>
      </w:pPr>
      <w:r>
        <w:rPr>
          <w:sz w:val="21"/>
          <w:szCs w:val="21"/>
        </w:rPr>
        <w:t xml:space="preserve">6.5	Review service-credit and availability reporting at the first quarterly business review after Go-Live.</w:t>
      </w:r>
    </w:p>
    <w:p>
      <w:pPr>
        <w:tabs>
          <w:tab w:val="left" w:pos="567"/>
        </w:tabs>
        <w:spacing w:after="120"/>
        <w:ind w:left="567" w:hanging="567"/>
        <w:jc w:val="both"/>
      </w:pPr>
      <w:r>
        <w:rPr>
          <w:sz w:val="21"/>
          <w:szCs w:val="21"/>
        </w:rPr>
        <w:t xml:space="preserve">6.6	Confirm ISO/IEC 27001 certification remains current and obtain the certificate for the file.</w:t>
      </w:r>
    </w:p>
    <w:p>
      <w:pPr>
        <w:spacing w:after="120" w:before="200"/>
        <w:jc w:val="center"/>
      </w:pPr>
      <w:r>
        <w:rPr>
          <w:b w:val="false"/>
          <w:bCs w:val="false"/>
          <w:i/>
          <w:iCs/>
          <w:sz w:val="16"/>
          <w:szCs w:val="16"/>
        </w:rPr>
        <w:t xml:space="preserve">Confidential and may be legally privileged.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88888"/>
        <w:sz w:val="15"/>
        <w:szCs w:val="15"/>
      </w:rPr>
      <w:t xml:space="preserve">Privileged &amp; confidential – internal note – WC-00109</w:t>
    </w:r>
    <w:r>
      <w:rPr>
        <w:color w:val="888888"/>
        <w:sz w:val="15"/>
        <w:szCs w:val="15"/>
      </w:rPr>
      <w:t xml:space="preserve">	Page </w:t>
    </w:r>
    <w:r>
      <w:rPr>
        <w:color w:val="888888"/>
        <w:sz w:val="15"/>
        <w:szCs w:val="15"/>
      </w:rPr>
      <w:fldChar w:fldCharType="begin"/>
      <w:instrText xml:space="preserve">PAGE</w:instrText>
      <w:fldChar w:fldCharType="separate"/>
      <w:fldChar w:fldCharType="end"/>
    </w:r>
    <w:r>
      <w:rPr>
        <w:color w:val="888888"/>
        <w:sz w:val="15"/>
        <w:szCs w:val="15"/>
      </w:rPr>
      <w:t xml:space="preserve"> of </w:t>
    </w:r>
    <w:r>
      <w:rPr>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Contract Review Note – WC-00109</dc:title>
  <dc:creator>Whitfield Carter LLP</dc:creator>
  <cp:lastModifiedBy>Un-named</cp:lastModifiedBy>
  <cp:revision>1</cp:revision>
  <dcterms:created xsi:type="dcterms:W3CDTF">2026-06-10T23:16:26.478Z</dcterms:created>
  <dcterms:modified xsi:type="dcterms:W3CDTF">2026-06-10T23:16:26.478Z</dcterms:modified>
</cp:coreProperties>
</file>

<file path=docProps/custom.xml><?xml version="1.0" encoding="utf-8"?>
<Properties xmlns="http://schemas.openxmlformats.org/officeDocument/2006/custom-properties" xmlns:vt="http://schemas.openxmlformats.org/officeDocument/2006/docPropsVTypes"/>
</file>