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1F3864"/>
          <w:sz w:val="28"/>
          <w:szCs w:val="28"/>
        </w:rPr>
        <w:t xml:space="preserve">Whitfield Carter LLP</w:t>
      </w:r>
    </w:p>
    <w:p>
      <w:pPr>
        <w:pBdr>
          <w:bottom w:val="single" w:color="1F3864" w:sz="6" w:space="2"/>
        </w:pBdr>
        <w:spacing w:after="200"/>
      </w:pPr>
      <w:r>
        <w:rPr>
          <w:color w:val="666666"/>
          <w:sz w:val="16"/>
          <w:szCs w:val="16"/>
        </w:rPr>
        <w:t xml:space="preserve">22 Bishopsgate, London EC2N 4BQ   |   www.whitfieldcarter.com   |   +44 (0)20 7946 0100</w:t>
      </w:r>
    </w:p>
    <w:p>
      <w:pPr>
        <w:spacing w:after="40" w:before="0"/>
        <w:jc w:val="center"/>
      </w:pPr>
      <w:r>
        <w:rPr>
          <w:b/>
          <w:bCs/>
          <w:i w:val="false"/>
          <w:iCs w:val="false"/>
          <w:sz w:val="24"/>
          <w:szCs w:val="24"/>
        </w:rPr>
        <w:t xml:space="preserve">HEADS OF TERMS – STRICTLY SUBJECT TO CONTRACT</w:t>
      </w:r>
    </w:p>
    <w:p>
      <w:pPr>
        <w:spacing w:after="40" w:before="0"/>
        <w:jc w:val="center"/>
      </w:pPr>
      <w:r>
        <w:rPr>
          <w:b w:val="false"/>
          <w:bCs w:val="false"/>
          <w:i/>
          <w:iCs/>
          <w:sz w:val="20"/>
          <w:szCs w:val="20"/>
        </w:rPr>
        <w:t xml:space="preserve">Enterprise subscription to the Caspian Climate Intelligence Platform</w:t>
      </w:r>
    </w:p>
    <w:p>
      <w:pPr>
        <w:spacing w:after="40" w:before="0"/>
        <w:jc w:val="center"/>
      </w:pPr>
      <w:r>
        <w:rPr>
          <w:b w:val="false"/>
          <w:bCs w:val="false"/>
          <w:i w:val="false"/>
          <w:iCs w:val="false"/>
          <w:sz w:val="20"/>
          <w:szCs w:val="20"/>
        </w:rPr>
        <w:t xml:space="preserve">Caspian Technologies Limited (Supplier)  –  Stratton Energy plc (Customer)</w:t>
      </w:r>
    </w:p>
    <w:p>
      <w:pPr>
        <w:spacing w:after="180" w:before="0"/>
        <w:jc w:val="center"/>
      </w:pPr>
      <w:r>
        <w:rPr>
          <w:b/>
          <w:bCs/>
          <w:i w:val="false"/>
          <w:iCs w:val="false"/>
          <w:sz w:val="21"/>
          <w:szCs w:val="21"/>
        </w:rPr>
        <w:t xml:space="preserve">Dated 8 April 2026</w:t>
      </w:r>
    </w:p>
    <w:p>
      <w:pPr>
        <w:spacing w:after="160" w:before="0"/>
        <w:jc w:val="both"/>
      </w:pPr>
      <w:r>
        <w:rPr>
          <w:b w:val="false"/>
          <w:bCs w:val="false"/>
          <w:i w:val="false"/>
          <w:iCs w:val="false"/>
          <w:sz w:val="21"/>
          <w:szCs w:val="21"/>
        </w:rPr>
        <w:t xml:space="preserve">These heads of terms record the principal commercial terms on which the parties intend to proceed in relation to the Customer’s enterprise subscription to the Caspian Climate Intelligence Platform. Save for paragraphs 12 (Confidentiality), 13 (Exclusivity) and 15 (Governing law), which are intended to be legally binding, these heads of terms are not legally binding, are subject to contract, and are without prejudice to the parties’ respective positions.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260"/>
      </w:tblGrid>
      <w:tr>
        <w:trPr>
          <w:tblHeader/>
        </w:trPr>
        <w:tc>
          <w:tcPr>
            <w:tcW w:type="dxa" w:w="700"/>
            <w:tcBorders>
              <w:top w:val="single" w:color="BBBBBB" w:sz="2"/>
              <w:left w:val="single" w:color="BBBBBB" w:sz="2"/>
              <w:bottom w:val="single" w:color="BBBBBB" w:sz="2"/>
              <w:right w:val="single" w:color="BBBBBB" w:sz="2"/>
            </w:tcBorders>
            <w:shd w:fill="1F3864" w:val="clear"/>
            <w:tcMar>
              <w:top w:type="dxa" w:w="60"/>
              <w:left w:type="dxa" w:w="110"/>
              <w:bottom w:type="dxa" w:w="60"/>
              <w:right w:type="dxa" w:w="110"/>
            </w:tcMar>
          </w:tcPr>
          <w:p>
            <w:r>
              <w:rPr>
                <w:b/>
                <w:bCs/>
                <w:color w:val="FFFFFF"/>
                <w:sz w:val="18"/>
                <w:szCs w:val="18"/>
              </w:rPr>
              <w:t xml:space="preserve">No.</w:t>
            </w:r>
          </w:p>
        </w:tc>
        <w:tc>
          <w:tcPr>
            <w:tcW w:type="dxa" w:w="3200"/>
            <w:tcBorders>
              <w:top w:val="single" w:color="BBBBBB" w:sz="2"/>
              <w:left w:val="single" w:color="BBBBBB" w:sz="2"/>
              <w:bottom w:val="single" w:color="BBBBBB" w:sz="2"/>
              <w:right w:val="single" w:color="BBBBBB" w:sz="2"/>
            </w:tcBorders>
            <w:shd w:fill="1F3864" w:val="clear"/>
            <w:tcMar>
              <w:top w:type="dxa" w:w="60"/>
              <w:left w:type="dxa" w:w="110"/>
              <w:bottom w:type="dxa" w:w="60"/>
              <w:right w:type="dxa" w:w="110"/>
            </w:tcMar>
          </w:tcPr>
          <w:p>
            <w:r>
              <w:rPr>
                <w:b/>
                <w:bCs/>
                <w:color w:val="FFFFFF"/>
                <w:sz w:val="18"/>
                <w:szCs w:val="18"/>
              </w:rPr>
              <w:t xml:space="preserve">Item</w:t>
            </w:r>
          </w:p>
        </w:tc>
        <w:tc>
          <w:tcPr>
            <w:tcW w:type="dxa" w:w="5260"/>
            <w:tcBorders>
              <w:top w:val="single" w:color="BBBBBB" w:sz="2"/>
              <w:left w:val="single" w:color="BBBBBB" w:sz="2"/>
              <w:bottom w:val="single" w:color="BBBBBB" w:sz="2"/>
              <w:right w:val="single" w:color="BBBBBB" w:sz="2"/>
            </w:tcBorders>
            <w:shd w:fill="1F3864" w:val="clear"/>
            <w:tcMar>
              <w:top w:type="dxa" w:w="60"/>
              <w:left w:type="dxa" w:w="110"/>
              <w:bottom w:type="dxa" w:w="60"/>
              <w:right w:type="dxa" w:w="110"/>
            </w:tcMar>
          </w:tcPr>
          <w:p>
            <w:r>
              <w:rPr>
                <w:b/>
                <w:bCs/>
                <w:color w:val="FFFFFF"/>
                <w:sz w:val="18"/>
                <w:szCs w:val="18"/>
              </w:rPr>
              <w:t xml:space="preserve">Agreed position</w:t>
            </w:r>
          </w:p>
        </w:tc>
      </w:tr>
      <w:tr>
        <w:trPr>
          <w:tblHeader w:val="false"/>
        </w:trPr>
        <w:tc>
          <w:tcPr>
            <w:tcW w:type="dxa" w:w="7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1</w:t>
            </w:r>
          </w:p>
        </w:tc>
        <w:tc>
          <w:tcPr>
            <w:tcW w:type="dxa" w:w="3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Supplier</w:t>
            </w:r>
          </w:p>
        </w:tc>
        <w:tc>
          <w:tcPr>
            <w:tcW w:type="dxa" w:w="52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Caspian Technologies Limited (company no. 11892345), Unit 4, 60 Worship Street, London EC2A 2EZ</w:t>
            </w:r>
          </w:p>
        </w:tc>
      </w:tr>
      <w:tr>
        <w:trPr>
          <w:tblHeader w:val="false"/>
        </w:trPr>
        <w:tc>
          <w:tcPr>
            <w:tcW w:type="dxa" w:w="7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2</w:t>
            </w:r>
          </w:p>
        </w:tc>
        <w:tc>
          <w:tcPr>
            <w:tcW w:type="dxa" w:w="32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Customer</w:t>
            </w:r>
          </w:p>
        </w:tc>
        <w:tc>
          <w:tcPr>
            <w:tcW w:type="dxa" w:w="526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Stratton Energy plc (company no. 04219876), Stratton House, 1 Eastgate, London EC3M 5AB</w:t>
            </w:r>
          </w:p>
        </w:tc>
      </w:tr>
      <w:tr>
        <w:trPr>
          <w:tblHeader w:val="false"/>
        </w:trPr>
        <w:tc>
          <w:tcPr>
            <w:tcW w:type="dxa" w:w="7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3</w:t>
            </w:r>
          </w:p>
        </w:tc>
        <w:tc>
          <w:tcPr>
            <w:tcW w:type="dxa" w:w="3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Product</w:t>
            </w:r>
          </w:p>
        </w:tc>
        <w:tc>
          <w:tcPr>
            <w:tcW w:type="dxa" w:w="52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Caspian Climate Intelligence Platform – Enterprise tier (Scope 1, 2 and 3 emissions measurement, analytics and disclosure reporting)</w:t>
            </w:r>
          </w:p>
        </w:tc>
      </w:tr>
      <w:tr>
        <w:trPr>
          <w:tblHeader w:val="false"/>
        </w:trPr>
        <w:tc>
          <w:tcPr>
            <w:tcW w:type="dxa" w:w="7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4</w:t>
            </w:r>
          </w:p>
        </w:tc>
        <w:tc>
          <w:tcPr>
            <w:tcW w:type="dxa" w:w="32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Scope of use</w:t>
            </w:r>
          </w:p>
        </w:tc>
        <w:tc>
          <w:tcPr>
            <w:tcW w:type="dxa" w:w="526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UK and European operations of the Customer group; up to 250 Authorised Users</w:t>
            </w:r>
          </w:p>
        </w:tc>
      </w:tr>
      <w:tr>
        <w:trPr>
          <w:tblHeader w:val="false"/>
        </w:trPr>
        <w:tc>
          <w:tcPr>
            <w:tcW w:type="dxa" w:w="7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5</w:t>
            </w:r>
          </w:p>
        </w:tc>
        <w:tc>
          <w:tcPr>
            <w:tcW w:type="dxa" w:w="3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Initial Term</w:t>
            </w:r>
          </w:p>
        </w:tc>
        <w:tc>
          <w:tcPr>
            <w:tcW w:type="dxa" w:w="52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36 months from Go-Live (target Go-Live 1 July 2026); auto-renewal for successive 12-month periods; 90 days’ non-renewal notice</w:t>
            </w:r>
          </w:p>
        </w:tc>
      </w:tr>
      <w:tr>
        <w:trPr>
          <w:tblHeader w:val="false"/>
        </w:trPr>
        <w:tc>
          <w:tcPr>
            <w:tcW w:type="dxa" w:w="7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6</w:t>
            </w:r>
          </w:p>
        </w:tc>
        <w:tc>
          <w:tcPr>
            <w:tcW w:type="dxa" w:w="32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Annual Subscription Fee</w:t>
            </w:r>
          </w:p>
        </w:tc>
        <w:tc>
          <w:tcPr>
            <w:tcW w:type="dxa" w:w="526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£450,000 (year 1); 5% annual uplift (£472,500 year 2; £496,125 year 3)</w:t>
            </w:r>
          </w:p>
        </w:tc>
      </w:tr>
      <w:tr>
        <w:trPr>
          <w:tblHeader w:val="false"/>
        </w:trPr>
        <w:tc>
          <w:tcPr>
            <w:tcW w:type="dxa" w:w="7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7</w:t>
            </w:r>
          </w:p>
        </w:tc>
        <w:tc>
          <w:tcPr>
            <w:tcW w:type="dxa" w:w="3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Implementation</w:t>
            </w:r>
          </w:p>
        </w:tc>
        <w:tc>
          <w:tcPr>
            <w:tcW w:type="dxa" w:w="52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One-off Implementation &amp; Onboarding Fee of £85,000</w:t>
            </w:r>
          </w:p>
        </w:tc>
      </w:tr>
      <w:tr>
        <w:trPr>
          <w:tblHeader w:val="false"/>
        </w:trPr>
        <w:tc>
          <w:tcPr>
            <w:tcW w:type="dxa" w:w="7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8</w:t>
            </w:r>
          </w:p>
        </w:tc>
        <w:tc>
          <w:tcPr>
            <w:tcW w:type="dxa" w:w="32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Professional services</w:t>
            </w:r>
          </w:p>
        </w:tc>
        <w:tc>
          <w:tcPr>
            <w:tcW w:type="dxa" w:w="526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£1,250 per consultant-day; approximately 40 days estimated in year 1 (£50,000)</w:t>
            </w:r>
          </w:p>
        </w:tc>
      </w:tr>
      <w:tr>
        <w:trPr>
          <w:tblHeader w:val="false"/>
        </w:trPr>
        <w:tc>
          <w:tcPr>
            <w:tcW w:type="dxa" w:w="7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9</w:t>
            </w:r>
          </w:p>
        </w:tc>
        <w:tc>
          <w:tcPr>
            <w:tcW w:type="dxa" w:w="3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Service level</w:t>
            </w:r>
          </w:p>
        </w:tc>
        <w:tc>
          <w:tcPr>
            <w:tcW w:type="dxa" w:w="52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Target monthly availability 99.5%–99.9% (to be finalised in the SLA); tiered service credits</w:t>
            </w:r>
          </w:p>
        </w:tc>
      </w:tr>
      <w:tr>
        <w:trPr>
          <w:tblHeader w:val="false"/>
        </w:trPr>
        <w:tc>
          <w:tcPr>
            <w:tcW w:type="dxa" w:w="7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10</w:t>
            </w:r>
          </w:p>
        </w:tc>
        <w:tc>
          <w:tcPr>
            <w:tcW w:type="dxa" w:w="32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Payment</w:t>
            </w:r>
          </w:p>
        </w:tc>
        <w:tc>
          <w:tcPr>
            <w:tcW w:type="dxa" w:w="526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Annually in advance; payment terms to be agreed (30–60 days)</w:t>
            </w:r>
          </w:p>
        </w:tc>
      </w:tr>
      <w:tr>
        <w:trPr>
          <w:tblHeader w:val="false"/>
        </w:trPr>
        <w:tc>
          <w:tcPr>
            <w:tcW w:type="dxa" w:w="7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11</w:t>
            </w:r>
          </w:p>
        </w:tc>
        <w:tc>
          <w:tcPr>
            <w:tcW w:type="dxa" w:w="3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Data &amp; hosting</w:t>
            </w:r>
          </w:p>
        </w:tc>
        <w:tc>
          <w:tcPr>
            <w:tcW w:type="dxa" w:w="52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UK hosting; EEA sub-processors with appropriate safeguards to be addressed in the DPA</w:t>
            </w:r>
          </w:p>
        </w:tc>
      </w:tr>
      <w:tr>
        <w:trPr>
          <w:tblHeader w:val="false"/>
        </w:trPr>
        <w:tc>
          <w:tcPr>
            <w:tcW w:type="dxa" w:w="7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12</w:t>
            </w:r>
          </w:p>
        </w:tc>
        <w:tc>
          <w:tcPr>
            <w:tcW w:type="dxa" w:w="32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Confidentiality</w:t>
            </w:r>
          </w:p>
        </w:tc>
        <w:tc>
          <w:tcPr>
            <w:tcW w:type="dxa" w:w="526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Each party to keep the existence and terms of these discussions and the other’s confidential information confidential (binding)</w:t>
            </w:r>
          </w:p>
        </w:tc>
      </w:tr>
      <w:tr>
        <w:trPr>
          <w:tblHeader w:val="false"/>
        </w:trPr>
        <w:tc>
          <w:tcPr>
            <w:tcW w:type="dxa" w:w="7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13</w:t>
            </w:r>
          </w:p>
        </w:tc>
        <w:tc>
          <w:tcPr>
            <w:tcW w:type="dxa" w:w="3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Exclusivity</w:t>
            </w:r>
          </w:p>
        </w:tc>
        <w:tc>
          <w:tcPr>
            <w:tcW w:type="dxa" w:w="52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The Customer shall negotiate exclusively with the Supplier for this platform until 31 May 2026 (binding)</w:t>
            </w:r>
          </w:p>
        </w:tc>
      </w:tr>
      <w:tr>
        <w:trPr>
          <w:tblHeader w:val="false"/>
        </w:trPr>
        <w:tc>
          <w:tcPr>
            <w:tcW w:type="dxa" w:w="7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14</w:t>
            </w:r>
          </w:p>
        </w:tc>
        <w:tc>
          <w:tcPr>
            <w:tcW w:type="dxa" w:w="32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Documentation</w:t>
            </w:r>
          </w:p>
        </w:tc>
        <w:tc>
          <w:tcPr>
            <w:tcW w:type="dxa" w:w="526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Master SaaS Agreement with Schedules: (1) Statement of Work; (2) Service Level Agreement; (3) Data Processing Agreement</w:t>
            </w:r>
          </w:p>
        </w:tc>
      </w:tr>
      <w:tr>
        <w:trPr>
          <w:tblHeader w:val="false"/>
        </w:trPr>
        <w:tc>
          <w:tcPr>
            <w:tcW w:type="dxa" w:w="7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15</w:t>
            </w:r>
          </w:p>
        </w:tc>
        <w:tc>
          <w:tcPr>
            <w:tcW w:type="dxa" w:w="3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Governing law</w:t>
            </w:r>
          </w:p>
        </w:tc>
        <w:tc>
          <w:tcPr>
            <w:tcW w:type="dxa" w:w="52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England and Wales; exclusive jurisdiction of the English courts (binding)</w:t>
            </w:r>
          </w:p>
        </w:tc>
      </w:tr>
    </w:tbl>
    <w:p>
      <w:pPr>
        <w:spacing w:after="120" w:before="120"/>
        <w:jc w:val="both"/>
      </w:pPr>
      <w:r>
        <w:rPr>
          <w:b w:val="false"/>
          <w:bCs w:val="false"/>
          <w:i w:val="false"/>
          <w:iCs w:val="false"/>
          <w:sz w:val="21"/>
          <w:szCs w:val="21"/>
        </w:rPr>
        <w:t xml:space="preserve">Estimated total year-1 charges: £585,000 (subscription £450,000 + implementation £85,000 + estimated year-1 professional services £50,000).</w:t>
      </w:r>
    </w:p>
    <w:p>
      <w:pPr>
        <w:spacing w:after="160" w:before="0"/>
        <w:jc w:val="both"/>
      </w:pPr>
      <w:r>
        <w:rPr>
          <w:b w:val="false"/>
          <w:bCs w:val="false"/>
          <w:i w:val="false"/>
          <w:iCs w:val="false"/>
          <w:sz w:val="21"/>
          <w:szCs w:val="21"/>
        </w:rPr>
        <w:t xml:space="preserve">Estimated three-year contract value (subscription years 1–3 with 5% annual uplift, plus implementation and estimated year-1 professional services): approximately £1,553,625.</w:t>
      </w:r>
    </w:p>
    <w:p>
      <w:pPr>
        <w:spacing w:after="200" w:before="0"/>
        <w:jc w:val="both"/>
      </w:pPr>
      <w:r>
        <w:rPr>
          <w:b w:val="false"/>
          <w:bCs w:val="false"/>
          <w:i w:val="false"/>
          <w:iCs w:val="false"/>
          <w:sz w:val="21"/>
          <w:szCs w:val="21"/>
        </w:rPr>
        <w:t xml:space="preserve">Next steps: the Supplier’s advisers, Whitfield Carter LLP, to circulate a first draft of the Master SaaS Agreement and Schedules; the Customer’s advisers, Denham Lewis LLP, to review and revert. The parties aim to execute by the end of May 2026 to support a 1 July 2026 Go-Live.</w:t>
      </w:r>
    </w:p>
    <w:p>
      <w:pPr>
        <w:spacing w:after="160" w:before="0"/>
        <w:jc w:val="both"/>
      </w:pPr>
      <w:r>
        <w:rPr>
          <w:b/>
          <w:bCs/>
          <w:i w:val="false"/>
          <w:iCs w:val="false"/>
          <w:sz w:val="21"/>
          <w:szCs w:val="21"/>
        </w:rPr>
        <w:t xml:space="preserve">Agreed in principle, subject to contract:</w:t>
      </w:r>
    </w:p>
    <w:tbl>
      <w:tblPr>
        <w:tblW w:type="dxa" w:w="9160"/>
        <w:tblBorders>
          <w:top w:val="none"/>
          <w:left w:val="none"/>
          <w:bottom w:val="none"/>
          <w:right w:val="none"/>
          <w:insideH w:val="none"/>
          <w:insideV w:val="none"/>
        </w:tblBorders>
      </w:tblPr>
      <w:tblGrid>
        <w:gridCol w:w="4580"/>
        <w:gridCol w:w="4580"/>
      </w:tblGrid>
      <w:tr>
        <w:tc>
          <w:tcPr>
            <w:tcW w:type="dxa" w:w="4580"/>
            <w:tcBorders>
              <w:top w:val="none"/>
              <w:left w:val="none"/>
              <w:bottom w:val="none"/>
              <w:right w:val="none"/>
            </w:tcBorders>
          </w:tcPr>
          <w:p>
            <w:pPr>
              <w:spacing w:after="200" w:before="0"/>
              <w:jc w:val="both"/>
            </w:pPr>
            <w:r>
              <w:rPr>
                <w:b w:val="false"/>
                <w:bCs w:val="false"/>
                <w:i w:val="false"/>
                <w:iCs w:val="false"/>
                <w:sz w:val="21"/>
                <w:szCs w:val="21"/>
              </w:rPr>
              <w:t xml:space="preserve">For Caspian Technologies Limited</w:t>
            </w:r>
          </w:p>
          <w:p>
            <w:pPr>
              <w:spacing w:after="40" w:before="0"/>
              <w:jc w:val="both"/>
            </w:pPr>
            <w:r>
              <w:rPr>
                <w:b w:val="false"/>
                <w:bCs w:val="false"/>
                <w:i w:val="false"/>
                <w:iCs w:val="false"/>
                <w:sz w:val="21"/>
                <w:szCs w:val="21"/>
              </w:rPr>
              <w:t xml:space="preserve">Name: Daniel Okonkwo</w:t>
            </w:r>
          </w:p>
          <w:p>
            <w:pPr>
              <w:spacing w:after="40" w:before="0"/>
              <w:jc w:val="both"/>
            </w:pPr>
            <w:r>
              <w:rPr>
                <w:b w:val="false"/>
                <w:bCs w:val="false"/>
                <w:i w:val="false"/>
                <w:iCs w:val="false"/>
                <w:sz w:val="21"/>
                <w:szCs w:val="21"/>
              </w:rPr>
              <w:t xml:space="preserve">Title: VP Commercial</w:t>
            </w:r>
          </w:p>
          <w:p>
            <w:pPr>
              <w:spacing w:after="120" w:before="0"/>
              <w:jc w:val="both"/>
            </w:pPr>
            <w:r>
              <w:rPr>
                <w:b w:val="false"/>
                <w:bCs w:val="false"/>
                <w:i w:val="false"/>
                <w:iCs w:val="false"/>
                <w:sz w:val="21"/>
                <w:szCs w:val="21"/>
              </w:rPr>
              <w:t xml:space="preserve">Signature: ____________________</w:t>
            </w:r>
          </w:p>
        </w:tc>
        <w:tc>
          <w:tcPr>
            <w:tcW w:type="dxa" w:w="4580"/>
            <w:tcBorders>
              <w:top w:val="none"/>
              <w:left w:val="none"/>
              <w:bottom w:val="none"/>
              <w:right w:val="none"/>
            </w:tcBorders>
          </w:tcPr>
          <w:p>
            <w:pPr>
              <w:spacing w:after="200" w:before="0"/>
              <w:jc w:val="both"/>
            </w:pPr>
            <w:r>
              <w:rPr>
                <w:b w:val="false"/>
                <w:bCs w:val="false"/>
                <w:i w:val="false"/>
                <w:iCs w:val="false"/>
                <w:sz w:val="21"/>
                <w:szCs w:val="21"/>
              </w:rPr>
              <w:t xml:space="preserve">For Stratton Energy plc</w:t>
            </w:r>
          </w:p>
          <w:p>
            <w:pPr>
              <w:spacing w:after="40" w:before="0"/>
              <w:jc w:val="both"/>
            </w:pPr>
            <w:r>
              <w:rPr>
                <w:b w:val="false"/>
                <w:bCs w:val="false"/>
                <w:i w:val="false"/>
                <w:iCs w:val="false"/>
                <w:sz w:val="21"/>
                <w:szCs w:val="21"/>
              </w:rPr>
              <w:t xml:space="preserve">Name: Robert Pearce</w:t>
            </w:r>
          </w:p>
          <w:p>
            <w:pPr>
              <w:spacing w:after="40" w:before="0"/>
              <w:jc w:val="both"/>
            </w:pPr>
            <w:r>
              <w:rPr>
                <w:b w:val="false"/>
                <w:bCs w:val="false"/>
                <w:i w:val="false"/>
                <w:iCs w:val="false"/>
                <w:sz w:val="21"/>
                <w:szCs w:val="21"/>
              </w:rPr>
              <w:t xml:space="preserve">Title: Head of Procurement</w:t>
            </w:r>
          </w:p>
          <w:p>
            <w:pPr>
              <w:spacing w:after="120" w:before="0"/>
              <w:jc w:val="both"/>
            </w:pPr>
            <w:r>
              <w:rPr>
                <w:b w:val="false"/>
                <w:bCs w:val="false"/>
                <w:i w:val="false"/>
                <w:iCs w:val="false"/>
                <w:sz w:val="21"/>
                <w:szCs w:val="21"/>
              </w:rPr>
              <w:t xml:space="preserve">Signature: ____________________</w:t>
            </w:r>
          </w:p>
        </w:tc>
      </w:tr>
    </w:tbl>
    <w:p>
      <w:pPr>
        <w:spacing w:after="120" w:before="200"/>
        <w:jc w:val="center"/>
      </w:pPr>
      <w:r>
        <w:rPr>
          <w:b w:val="false"/>
          <w:bCs w:val="false"/>
          <w:i/>
          <w:iCs/>
          <w:sz w:val="16"/>
          <w:szCs w:val="16"/>
        </w:rPr>
        <w:t xml:space="preserve">Confidential and may be legally privileged.</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88888"/>
        <w:sz w:val="15"/>
        <w:szCs w:val="15"/>
      </w:rPr>
      <w:t xml:space="preserve">Heads of Terms (subject to contract) – Caspian / Stratton Energy</w:t>
    </w:r>
    <w:r>
      <w:rPr>
        <w:color w:val="888888"/>
        <w:sz w:val="15"/>
        <w:szCs w:val="15"/>
      </w:rPr>
      <w:t xml:space="preserve">	Page </w:t>
    </w:r>
    <w:r>
      <w:rPr>
        <w:color w:val="888888"/>
        <w:sz w:val="15"/>
        <w:szCs w:val="15"/>
      </w:rPr>
      <w:fldChar w:fldCharType="begin"/>
      <w:instrText xml:space="preserve">PAGE</w:instrText>
      <w:fldChar w:fldCharType="separate"/>
      <w:fldChar w:fldCharType="end"/>
    </w:r>
    <w:r>
      <w:rPr>
        <w:color w:val="888888"/>
        <w:sz w:val="15"/>
        <w:szCs w:val="15"/>
      </w:rPr>
      <w:t xml:space="preserve"> of </w:t>
    </w:r>
    <w:r>
      <w:rPr>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Heads of Terms – Caspian / Stratton Energy</dc:title>
  <dc:creator>Whitfield Carter LLP</dc:creator>
  <cp:lastModifiedBy>Un-named</cp:lastModifiedBy>
  <cp:revision>1</cp:revision>
  <dcterms:created xsi:type="dcterms:W3CDTF">2026-06-10T23:16:26.475Z</dcterms:created>
  <dcterms:modified xsi:type="dcterms:W3CDTF">2026-06-10T23:16:26.475Z</dcterms:modified>
</cp:coreProperties>
</file>

<file path=docProps/custom.xml><?xml version="1.0" encoding="utf-8"?>
<Properties xmlns="http://schemas.openxmlformats.org/officeDocument/2006/custom-properties" xmlns:vt="http://schemas.openxmlformats.org/officeDocument/2006/docPropsVTypes"/>
</file>