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SCHEDULE 1</w:t>
      </w:r>
    </w:p>
    <w:p>
      <w:pPr>
        <w:spacing w:after="60" w:before="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STATEMENT OF WORK (IMPLEMENTATION &amp; SERVICES)</w:t>
      </w:r>
    </w:p>
    <w:p>
      <w:pPr>
        <w:spacing w:after="200" w:before="0"/>
        <w:jc w:val="center"/>
      </w:pPr>
      <w:r>
        <w:rPr>
          <w:b w:val="false"/>
          <w:bCs w:val="false"/>
          <w:i/>
          <w:iCs/>
          <w:sz w:val="18"/>
          <w:szCs w:val="18"/>
        </w:rPr>
        <w:t xml:space="preserve">to the Master Software-as-a-Service Agreement between Caspian Technologies Limited (Supplier) and Stratton Energy plc (Customer)</w:t>
      </w:r>
    </w:p>
    <w:p>
      <w:pPr>
        <w:keepNext/>
        <w:spacing w:after="120" w:before="220"/>
      </w:pPr>
      <w:r>
        <w:rPr>
          <w:b/>
          <w:bCs/>
          <w:sz w:val="24"/>
          <w:szCs w:val="24"/>
        </w:rPr>
        <w:t xml:space="preserve">1.  Scope of the Services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1.1	The Supplier shall provide the Customer with access to the Caspian Climate Intelligence Platform (Enterprise tier) and the implementation, configuration, data-integration, training and support services described in this Schedule, to enable the Customer to measure, manage and report its Scope 1, Scope 2 and Scope 3 greenhouse-gas emissions across its UK and European operations and to prepare related regulatory and voluntary disclosures.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1.2	The Enterprise tier comprises the emissions-measurement, analytics, target-setting, supplier-engagement and disclosure-reporting modules, together with the application programming interfaces necessary to ingest activity data from the Customer’s source systems.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1.3	Capitalised terms used but not defined in this Schedule have the meanings given in the Agreement.</w:t>
      </w:r>
    </w:p>
    <w:p>
      <w:pPr>
        <w:keepNext/>
        <w:spacing w:after="120" w:before="220"/>
      </w:pPr>
      <w:r>
        <w:rPr>
          <w:b/>
          <w:bCs/>
          <w:sz w:val="24"/>
          <w:szCs w:val="24"/>
        </w:rPr>
        <w:t xml:space="preserve">2.  Implementation phases, deliverables and milestones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implementation shall be delivered in the following phases, commencing on 1 June 2026 and targeting a Go-Live Date of 1 July 2026: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7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Mobilisation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kick-off, governance set-up, data-source mapping and project plan baseline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initiation document; RACI; data-source inventory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 1–2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Configuration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set-up, emissions factors library, organisation hierarchy, single sign-on (SSO) and role configuration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Configured tenant; SSO live; emissions-factor set signed off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 3–5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Data integration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 ERP, utility, fuel-card and business-travel data feeds via API and secure file transfer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 to 8 source-system integrations; data-validation report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 4–7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UAT &amp; training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User-acceptance testing against the test script; training of Authorised Users; cutover plan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Signed UAT acceptance certificate; trained user cohort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 8–9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Go-Live &amp; hypercare</w:t>
            </w:r>
          </w:p>
        </w:tc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 go-live and two weeks’ enhanced hypercare support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Go-Live confirmation; hypercare exit report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Jul 2026</w:t>
            </w:r>
          </w:p>
        </w:tc>
      </w:tr>
    </w:tbl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2.1	Acceptance: the Customer shall test each deliverable against the agreed acceptance criteria within five Business Days of delivery. A deliverable is deemed accepted if the Customer does not provide written notice of non-conformity within that period. The Go-Live Date occurs on the Supplier’s written confirmation following the Customer’s sign-off of the UAT acceptance certificate.</w:t>
      </w:r>
    </w:p>
    <w:p>
      <w:pPr>
        <w:keepNext/>
        <w:spacing w:after="120" w:before="220"/>
      </w:pPr>
      <w:r>
        <w:rPr>
          <w:b/>
          <w:bCs/>
          <w:sz w:val="24"/>
          <w:szCs w:val="24"/>
        </w:rPr>
        <w:t xml:space="preserve">3.  Authorised Users and onboarding scope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3.1	The Services support up to 250 named Authorised Users. The Implementation and Onboarding Fee of £85,000 (clause 6.1 of the Agreement) covers tenant configuration, integration of up to eight source systems, migration of up to 24 months of historic activity data, and instructor-led training of up to 40 users across two cohorts.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3.2	Onboarding deliverables beyond this scope (for example, additional source-system integrations or bespoke report templates) shall be treated as professional services under paragraph 4.</w:t>
      </w:r>
    </w:p>
    <w:p>
      <w:pPr>
        <w:keepNext/>
        <w:spacing w:after="120" w:before="220"/>
      </w:pPr>
      <w:r>
        <w:rPr>
          <w:b/>
          <w:bCs/>
          <w:sz w:val="24"/>
          <w:szCs w:val="24"/>
        </w:rPr>
        <w:t xml:space="preserve">4.  Professional services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4.1	Additional professional services requested by the Customer beyond the implementation scope shall be charged at £1,250 per consultant-day, drawn down under work orders agreed in writing. The parties estimate 40 consultant-days in year 1 (£50,000), which is an estimate and not a commitment.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4.2	Each work order shall record the scope, estimated effort, deliverables, acceptance criteria and any assumptions. Travel and out-of-pocket expenses are chargeable at cost where pre-approved in writing by the Customer.</w:t>
      </w:r>
    </w:p>
    <w:p>
      <w:pPr>
        <w:keepNext/>
        <w:spacing w:after="120" w:before="220"/>
      </w:pPr>
      <w:r>
        <w:rPr>
          <w:b/>
          <w:bCs/>
          <w:sz w:val="24"/>
          <w:szCs w:val="24"/>
        </w:rPr>
        <w:t xml:space="preserve">5.  Governance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5.1	The parties shall hold a fortnightly project board during implementation and quarterly business reviews after Go-Live. Each party shall nominate a project sponsor and a project manager as its day-to-day points of contact.</w:t>
      </w:r>
    </w:p>
    <w:p>
      <w:pPr>
        <w:keepNext/>
        <w:spacing w:after="120" w:before="220"/>
      </w:pPr>
      <w:r>
        <w:rPr>
          <w:b/>
          <w:bCs/>
          <w:sz w:val="24"/>
          <w:szCs w:val="24"/>
        </w:rPr>
        <w:t xml:space="preserve">6.  Customer responsibilities and dependencies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6.1	The Customer shall: (a) provide timely and complete access to the relevant source systems and activity data; (b) nominate a project sponsor and project manager; (c) procure the participation of relevant business and IT personnel for workshops, UAT and training; and (d) provide decisions and approvals within five Business Days of request.</w:t>
      </w:r>
    </w:p>
    <w:p>
      <w:pPr>
        <w:tabs>
          <w:tab w:val="left" w:pos="567"/>
        </w:tabs>
        <w:spacing w:after="120"/>
        <w:ind w:left="567" w:hanging="567"/>
        <w:jc w:val="both"/>
      </w:pPr>
      <w:r>
        <w:rPr>
          <w:sz w:val="21"/>
          <w:szCs w:val="21"/>
        </w:rPr>
        <w:t xml:space="preserve">6.2	Delays attributable to the Customer’s failure to meet a dependency shall entitle the Supplier to a reasonable extension of the affected milestones and to recover reasonable additional costs incurred as a result.</w:t>
      </w:r>
    </w:p>
    <w:p>
      <w:pPr>
        <w:keepNext/>
        <w:spacing w:after="120" w:before="220"/>
      </w:pPr>
      <w:r>
        <w:rPr>
          <w:b/>
          <w:bCs/>
          <w:sz w:val="24"/>
          <w:szCs w:val="24"/>
        </w:rPr>
        <w:t xml:space="preserve">7.  Charges summary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360"/>
      </w:tblGrid>
      <w:tr>
        <w:trPr>
          <w:tblHeader/>
        </w:trP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 Subscription Fee (Year 1)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annum, in advance</w:t>
            </w:r>
          </w:p>
        </w:tc>
        <w:tc>
          <w:tcPr>
            <w:tcW w:type="dxa" w:w="2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£450,000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Implementation &amp; Onboarding Fee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One-off, on signature</w:t>
            </w:r>
          </w:p>
        </w:tc>
        <w:tc>
          <w:tcPr>
            <w:tcW w:type="dxa" w:w="2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£85,000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Professional services (Year 1 est.)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 days @ £1,250/day</w:t>
            </w:r>
          </w:p>
        </w:tc>
        <w:tc>
          <w:tcPr>
            <w:tcW w:type="dxa" w:w="2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£50,000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Estimated total Year 1 charges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£585,000</w:t>
            </w:r>
          </w:p>
        </w:tc>
      </w:tr>
    </w:tbl>
    <w:p>
      <w:pPr>
        <w:spacing w:after="120" w:before="20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Confidential and may be legally privileged.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5"/>
        <w:szCs w:val="15"/>
      </w:rPr>
      <w:t xml:space="preserve">Schedule 1 (SOW) – Caspian / Stratton Energy MSA</w:t>
    </w:r>
    <w:r>
      <w:rPr>
        <w:color w:val="888888"/>
        <w:sz w:val="15"/>
        <w:szCs w:val="15"/>
      </w:rPr>
      <w:t xml:space="preserve">	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1 – Statement of Work</dc:title>
  <dc:creator>Whitfield Carter LLP</dc:creator>
  <cp:lastModifiedBy>Un-named</cp:lastModifiedBy>
  <cp:revision>1</cp:revision>
  <dcterms:created xsi:type="dcterms:W3CDTF">2026-06-10T23:16:26.454Z</dcterms:created>
  <dcterms:modified xsi:type="dcterms:W3CDTF">2026-06-10T23:16:26.455Z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