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i w:val="false"/>
          <w:iCs w:val="false"/>
          <w:sz w:val="26"/>
          <w:szCs w:val="26"/>
        </w:rPr>
        <w:t xml:space="preserve">SCHEDULE 2</w:t>
      </w:r>
    </w:p>
    <w:p>
      <w:pPr>
        <w:spacing w:after="60" w:before="0"/>
        <w:jc w:val="center"/>
      </w:pPr>
      <w:r>
        <w:rPr>
          <w:b/>
          <w:bCs/>
          <w:i w:val="false"/>
          <w:iCs w:val="false"/>
          <w:sz w:val="22"/>
          <w:szCs w:val="22"/>
        </w:rPr>
        <w:t xml:space="preserve">SERVICE LEVEL AGREEMENT</w:t>
      </w:r>
    </w:p>
    <w:p>
      <w:pPr>
        <w:spacing w:after="200" w:before="0"/>
        <w:jc w:val="center"/>
      </w:pPr>
      <w:r>
        <w:rPr>
          <w:b w:val="false"/>
          <w:bCs w:val="false"/>
          <w:i/>
          <w:iCs/>
          <w:sz w:val="18"/>
          <w:szCs w:val="18"/>
        </w:rPr>
        <w:t xml:space="preserve">to the Master Software-as-a-Service Agreement between Caspian Technologies Limited (Supplier) and Stratton Energy plc (Customer)</w:t>
      </w:r>
    </w:p>
    <w:p>
      <w:pPr>
        <w:keepNext/>
        <w:spacing w:after="120" w:before="220"/>
      </w:pPr>
      <w:r>
        <w:rPr>
          <w:b/>
          <w:bCs/>
          <w:sz w:val="24"/>
          <w:szCs w:val="24"/>
        </w:rPr>
        <w:t xml:space="preserve">1.  Availability</w:t>
      </w:r>
    </w:p>
    <w:p>
      <w:pPr>
        <w:tabs>
          <w:tab w:val="left" w:pos="567"/>
        </w:tabs>
        <w:spacing w:after="120"/>
        <w:ind w:left="567" w:hanging="567"/>
        <w:jc w:val="both"/>
      </w:pPr>
      <w:r>
        <w:rPr>
          <w:sz w:val="21"/>
          <w:szCs w:val="21"/>
        </w:rPr>
        <w:t xml:space="preserve">1.1	The Supplier shall use commercially reasonable efforts to make the Platform Available at least 99.8% of the time in each calendar month (the “Service Level”), excluding Scheduled Maintenance and Force Majeure events.</w:t>
      </w:r>
    </w:p>
    <w:p>
      <w:pPr>
        <w:tabs>
          <w:tab w:val="left" w:pos="567"/>
        </w:tabs>
        <w:spacing w:after="120"/>
        <w:ind w:left="567" w:hanging="567"/>
        <w:jc w:val="both"/>
      </w:pPr>
      <w:r>
        <w:rPr>
          <w:sz w:val="21"/>
          <w:szCs w:val="21"/>
        </w:rPr>
        <w:t xml:space="preserve">1.2	Availability is measured as: (Total Minutes − Downtime Minutes) ÷ Total Minutes, expressed as a percentage, where “Total Minutes” is the number of minutes in the relevant calendar month and “Downtime Minutes” is the aggregate number of minutes during which the Platform is not Available, excluding Scheduled Maintenance and Force Majeure.</w:t>
      </w:r>
    </w:p>
    <w:p>
      <w:pPr>
        <w:tabs>
          <w:tab w:val="left" w:pos="567"/>
        </w:tabs>
        <w:spacing w:after="120"/>
        <w:ind w:left="567" w:hanging="567"/>
        <w:jc w:val="both"/>
      </w:pPr>
      <w:r>
        <w:rPr>
          <w:sz w:val="21"/>
          <w:szCs w:val="21"/>
        </w:rPr>
        <w:t xml:space="preserve">1.3	The Supplier shall make availability reports available to the Customer monthly through the Platform or on request.</w:t>
      </w:r>
    </w:p>
    <w:p>
      <w:pPr>
        <w:keepNext/>
        <w:spacing w:after="120" w:before="220"/>
      </w:pPr>
      <w:r>
        <w:rPr>
          <w:b/>
          <w:bCs/>
          <w:sz w:val="24"/>
          <w:szCs w:val="24"/>
        </w:rPr>
        <w:t xml:space="preserve">2.  Scheduled maintenance</w:t>
      </w:r>
    </w:p>
    <w:p>
      <w:pPr>
        <w:tabs>
          <w:tab w:val="left" w:pos="567"/>
        </w:tabs>
        <w:spacing w:after="120"/>
        <w:ind w:left="567" w:hanging="567"/>
        <w:jc w:val="both"/>
      </w:pPr>
      <w:r>
        <w:rPr>
          <w:sz w:val="21"/>
          <w:szCs w:val="21"/>
        </w:rPr>
        <w:t xml:space="preserve">2.1	Scheduled Maintenance shall be performed outside UK business hours (defined as 08:00 to 18:00 GMT/BST on Business Days), with at least five Business Days’ prior notice, and shall not exceed eight hours in any calendar month.</w:t>
      </w:r>
    </w:p>
    <w:p>
      <w:pPr>
        <w:tabs>
          <w:tab w:val="left" w:pos="567"/>
        </w:tabs>
        <w:spacing w:after="120"/>
        <w:ind w:left="567" w:hanging="567"/>
        <w:jc w:val="both"/>
      </w:pPr>
      <w:r>
        <w:rPr>
          <w:sz w:val="21"/>
          <w:szCs w:val="21"/>
        </w:rPr>
        <w:t xml:space="preserve">2.2	Emergency maintenance required to address a security vulnerability or imminent service-affecting issue may be carried out on shorter notice, and the Supplier shall give the Customer as much notice as is reasonably practicable.</w:t>
      </w:r>
    </w:p>
    <w:p>
      <w:pPr>
        <w:keepNext/>
        <w:spacing w:after="120" w:before="220"/>
      </w:pPr>
      <w:r>
        <w:rPr>
          <w:b/>
          <w:bCs/>
          <w:sz w:val="24"/>
          <w:szCs w:val="24"/>
        </w:rPr>
        <w:t xml:space="preserve">3.  Service credits</w:t>
      </w:r>
    </w:p>
    <w:p>
      <w:pPr>
        <w:spacing w:after="120" w:before="0"/>
        <w:jc w:val="both"/>
      </w:pPr>
      <w:r>
        <w:rPr>
          <w:b w:val="false"/>
          <w:bCs w:val="false"/>
          <w:i w:val="false"/>
          <w:iCs w:val="false"/>
          <w:sz w:val="21"/>
          <w:szCs w:val="21"/>
        </w:rPr>
        <w:t xml:space="preserve">If Availability in a calendar month falls below the Service Level, the Customer is entitled to the following service credits, calculated as a percentage of the monthly proportion of the Annual Subscription Fee: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000"/>
        <w:gridCol w:w="4160"/>
      </w:tblGrid>
      <w:tr>
        <w:trPr>
          <w:tblHeader/>
        </w:trPr>
        <w:tc>
          <w:tcPr>
            <w:tcW w:type="dxa" w:w="500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color w:val="FFFFFF"/>
                <w:sz w:val="18"/>
                <w:szCs w:val="18"/>
              </w:rPr>
              <w:t xml:space="preserve">Monthly Availability</w:t>
            </w:r>
          </w:p>
        </w:tc>
        <w:tc>
          <w:tcPr>
            <w:tcW w:type="dxa" w:w="416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color w:val="FFFFFF"/>
                <w:sz w:val="18"/>
                <w:szCs w:val="18"/>
              </w:rPr>
              <w:t xml:space="preserve">Service credit (% of monthly subscription)</w:t>
            </w:r>
          </w:p>
        </w:tc>
      </w:tr>
      <w:tr>
        <w:trPr>
          <w:tblHeader w:val="false"/>
        </w:trPr>
        <w:tc>
          <w:tcPr>
            <w:tcW w:type="dxa" w:w="5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At or above 99.8% (Service Level met)</w:t>
            </w:r>
          </w:p>
        </w:tc>
        <w:tc>
          <w:tcPr>
            <w:tcW w:type="dxa" w:w="4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No credit</w:t>
            </w:r>
          </w:p>
        </w:tc>
      </w:tr>
      <w:tr>
        <w:trPr>
          <w:tblHeader w:val="false"/>
        </w:trPr>
        <w:tc>
          <w:tcPr>
            <w:tcW w:type="dxa" w:w="50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99.0% to 99.79%</w:t>
            </w:r>
          </w:p>
        </w:tc>
        <w:tc>
          <w:tcPr>
            <w:tcW w:type="dxa" w:w="41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5%</w:t>
            </w:r>
          </w:p>
        </w:tc>
      </w:tr>
      <w:tr>
        <w:trPr>
          <w:tblHeader w:val="false"/>
        </w:trPr>
        <w:tc>
          <w:tcPr>
            <w:tcW w:type="dxa" w:w="5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97.0% to 98.99%</w:t>
            </w:r>
          </w:p>
        </w:tc>
        <w:tc>
          <w:tcPr>
            <w:tcW w:type="dxa" w:w="4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10%</w:t>
            </w:r>
          </w:p>
        </w:tc>
      </w:tr>
      <w:tr>
        <w:trPr>
          <w:tblHeader w:val="false"/>
        </w:trPr>
        <w:tc>
          <w:tcPr>
            <w:tcW w:type="dxa" w:w="50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Below 97.0%</w:t>
            </w:r>
          </w:p>
        </w:tc>
        <w:tc>
          <w:tcPr>
            <w:tcW w:type="dxa" w:w="41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20%</w:t>
            </w:r>
          </w:p>
        </w:tc>
      </w:tr>
    </w:tbl>
    <w:p>
      <w:pPr>
        <w:tabs>
          <w:tab w:val="left" w:pos="567"/>
        </w:tabs>
        <w:spacing w:after="120"/>
        <w:ind w:left="567" w:hanging="567"/>
        <w:jc w:val="both"/>
      </w:pPr>
      <w:r>
        <w:rPr>
          <w:sz w:val="21"/>
          <w:szCs w:val="21"/>
        </w:rPr>
        <w:t xml:space="preserve">3.1	Service credits are the Customer’s sole financial remedy for failure to meet the Service Level and are applied against the next subscription invoice. The aggregate service credits in any calendar month shall not exceed 20% of the monthly proportion of the Annual Subscription Fee.</w:t>
      </w:r>
    </w:p>
    <w:p>
      <w:pPr>
        <w:tabs>
          <w:tab w:val="left" w:pos="567"/>
        </w:tabs>
        <w:spacing w:after="120"/>
        <w:ind w:left="567" w:hanging="567"/>
        <w:jc w:val="both"/>
      </w:pPr>
      <w:r>
        <w:rPr>
          <w:sz w:val="21"/>
          <w:szCs w:val="21"/>
        </w:rPr>
        <w:t xml:space="preserve">3.2	The Customer must claim a service credit in writing within 30 days of the end of the affected month. Persistent failure to meet the Service Level for three consecutive calendar months entitles the Customer to terminate the Agreement under clause 3.3 (as contemplated by clause 3.4).</w:t>
      </w:r>
    </w:p>
    <w:p>
      <w:pPr>
        <w:keepNext/>
        <w:spacing w:after="120" w:before="220"/>
      </w:pPr>
      <w:r>
        <w:rPr>
          <w:b/>
          <w:bCs/>
          <w:sz w:val="24"/>
          <w:szCs w:val="24"/>
        </w:rPr>
        <w:t xml:space="preserve">4.  Support and response times</w:t>
      </w:r>
    </w:p>
    <w:p>
      <w:pPr>
        <w:spacing w:after="120" w:before="0"/>
        <w:jc w:val="both"/>
      </w:pPr>
      <w:r>
        <w:rPr>
          <w:b w:val="false"/>
          <w:bCs w:val="false"/>
          <w:i w:val="false"/>
          <w:iCs w:val="false"/>
          <w:sz w:val="21"/>
          <w:szCs w:val="21"/>
        </w:rPr>
        <w:t xml:space="preserve">The Supplier shall provide support through its service desk during UK business hours, with the following severity-based targets: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180"/>
        <w:gridCol w:w="2180"/>
      </w:tblGrid>
      <w:tr>
        <w:trPr>
          <w:tblHeader/>
        </w:trPr>
        <w:tc>
          <w:tcPr>
            <w:tcW w:type="dxa" w:w="130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color w:val="FFFFFF"/>
                <w:sz w:val="18"/>
                <w:szCs w:val="18"/>
              </w:rPr>
              <w:t xml:space="preserve">Severity</w:t>
            </w:r>
          </w:p>
        </w:tc>
        <w:tc>
          <w:tcPr>
            <w:tcW w:type="dxa" w:w="350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color w:val="FFFFFF"/>
                <w:sz w:val="18"/>
                <w:szCs w:val="18"/>
              </w:rPr>
              <w:t xml:space="preserve">Description</w:t>
            </w:r>
          </w:p>
        </w:tc>
        <w:tc>
          <w:tcPr>
            <w:tcW w:type="dxa" w:w="218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color w:val="FFFFFF"/>
                <w:sz w:val="18"/>
                <w:szCs w:val="18"/>
              </w:rPr>
              <w:t xml:space="preserve">Target response</w:t>
            </w:r>
          </w:p>
        </w:tc>
        <w:tc>
          <w:tcPr>
            <w:tcW w:type="dxa" w:w="218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color w:val="FFFFFF"/>
                <w:sz w:val="18"/>
                <w:szCs w:val="18"/>
              </w:rPr>
              <w:t xml:space="preserve">Target resolution / workaround</w:t>
            </w:r>
          </w:p>
        </w:tc>
      </w:tr>
      <w:tr>
        <w:trPr>
          <w:tblHeader w:val="false"/>
        </w:trPr>
        <w:tc>
          <w:tcPr>
            <w:tcW w:type="dxa" w:w="1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P1 – Critical</w:t>
            </w:r>
          </w:p>
        </w:tc>
        <w:tc>
          <w:tcPr>
            <w:tcW w:type="dxa" w:w="35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Platform unavailable or core function inoperable for all users</w:t>
            </w:r>
          </w:p>
        </w:tc>
        <w:tc>
          <w:tcPr>
            <w:tcW w:type="dxa" w:w="21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1 hour</w:t>
            </w:r>
          </w:p>
        </w:tc>
        <w:tc>
          <w:tcPr>
            <w:tcW w:type="dxa" w:w="21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4 hours</w:t>
            </w:r>
          </w:p>
        </w:tc>
      </w:tr>
      <w:tr>
        <w:trPr>
          <w:tblHeader w:val="false"/>
        </w:trPr>
        <w:tc>
          <w:tcPr>
            <w:tcW w:type="dxa" w:w="13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P2 – High</w:t>
            </w:r>
          </w:p>
        </w:tc>
        <w:tc>
          <w:tcPr>
            <w:tcW w:type="dxa" w:w="35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Major function materially impaired; no acceptable workaround</w:t>
            </w:r>
          </w:p>
        </w:tc>
        <w:tc>
          <w:tcPr>
            <w:tcW w:type="dxa" w:w="218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4 hours</w:t>
            </w:r>
          </w:p>
        </w:tc>
        <w:tc>
          <w:tcPr>
            <w:tcW w:type="dxa" w:w="218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1 Business Day</w:t>
            </w:r>
          </w:p>
        </w:tc>
      </w:tr>
      <w:tr>
        <w:trPr>
          <w:tblHeader w:val="false"/>
        </w:trPr>
        <w:tc>
          <w:tcPr>
            <w:tcW w:type="dxa" w:w="1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P3 – Medium</w:t>
            </w:r>
          </w:p>
        </w:tc>
        <w:tc>
          <w:tcPr>
            <w:tcW w:type="dxa" w:w="35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Minor function impaired; workaround available</w:t>
            </w:r>
          </w:p>
        </w:tc>
        <w:tc>
          <w:tcPr>
            <w:tcW w:type="dxa" w:w="21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1 Business Day</w:t>
            </w:r>
          </w:p>
        </w:tc>
        <w:tc>
          <w:tcPr>
            <w:tcW w:type="dxa" w:w="21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5 Business Days</w:t>
            </w:r>
          </w:p>
        </w:tc>
      </w:tr>
      <w:tr>
        <w:trPr>
          <w:tblHeader w:val="false"/>
        </w:trPr>
        <w:tc>
          <w:tcPr>
            <w:tcW w:type="dxa" w:w="13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P4 – Low</w:t>
            </w:r>
          </w:p>
        </w:tc>
        <w:tc>
          <w:tcPr>
            <w:tcW w:type="dxa" w:w="35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Query, cosmetic issue or enhancement request</w:t>
            </w:r>
          </w:p>
        </w:tc>
        <w:tc>
          <w:tcPr>
            <w:tcW w:type="dxa" w:w="218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2 Business Days</w:t>
            </w:r>
          </w:p>
        </w:tc>
        <w:tc>
          <w:tcPr>
            <w:tcW w:type="dxa" w:w="218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As scheduled</w:t>
            </w:r>
          </w:p>
        </w:tc>
      </w:tr>
    </w:tbl>
    <w:p>
      <w:pPr>
        <w:tabs>
          <w:tab w:val="left" w:pos="567"/>
        </w:tabs>
        <w:spacing w:after="120"/>
        <w:ind w:left="567" w:hanging="567"/>
        <w:jc w:val="both"/>
      </w:pPr>
      <w:r>
        <w:rPr>
          <w:sz w:val="21"/>
          <w:szCs w:val="21"/>
        </w:rPr>
        <w:t xml:space="preserve">4.1	Response time is measured from the Supplier’s acknowledgement of a properly logged incident. The Supplier shall keep the Customer informed of progress on P1 and P2 incidents at regular intervals until resolved.</w:t>
      </w:r>
    </w:p>
    <w:p>
      <w:pPr>
        <w:tabs>
          <w:tab w:val="left" w:pos="567"/>
        </w:tabs>
        <w:spacing w:after="120"/>
        <w:ind w:left="567" w:hanging="567"/>
        <w:jc w:val="both"/>
      </w:pPr>
      <w:r>
        <w:rPr>
          <w:sz w:val="21"/>
          <w:szCs w:val="21"/>
        </w:rPr>
        <w:t xml:space="preserve">4.2	Severity is assigned by the Supplier acting reasonably, taking account of the Customer’s assessment of business impact. The Customer may escalate any incident to the named account manager.</w:t>
      </w:r>
    </w:p>
    <w:p>
      <w:pPr>
        <w:spacing w:after="120" w:before="200"/>
        <w:jc w:val="center"/>
      </w:pPr>
      <w:r>
        <w:rPr>
          <w:b w:val="false"/>
          <w:bCs w:val="false"/>
          <w:i/>
          <w:iCs/>
          <w:sz w:val="16"/>
          <w:szCs w:val="16"/>
        </w:rPr>
        <w:t xml:space="preserve">Confidential and may be legally privileged.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88888"/>
        <w:sz w:val="15"/>
        <w:szCs w:val="15"/>
      </w:rPr>
      <w:t xml:space="preserve">Schedule 2 (SLA) – Caspian / Stratton Energy MSA</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2 – Service Level Agreement</dc:title>
  <dc:creator>Whitfield Carter LLP</dc:creator>
  <cp:lastModifiedBy>Un-named</cp:lastModifiedBy>
  <cp:revision>1</cp:revision>
  <dcterms:created xsi:type="dcterms:W3CDTF">2026-06-10T23:16:26.463Z</dcterms:created>
  <dcterms:modified xsi:type="dcterms:W3CDTF">2026-06-10T23:16:26.463Z</dcterms:modified>
</cp:coreProperties>
</file>

<file path=docProps/custom.xml><?xml version="1.0" encoding="utf-8"?>
<Properties xmlns="http://schemas.openxmlformats.org/officeDocument/2006/custom-properties" xmlns:vt="http://schemas.openxmlformats.org/officeDocument/2006/docPropsVTypes"/>
</file>