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i w:val="false"/>
          <w:iCs w:val="false"/>
          <w:sz w:val="26"/>
          <w:szCs w:val="26"/>
        </w:rPr>
        <w:t xml:space="preserve">SCHEDULE 3</w:t>
      </w:r>
    </w:p>
    <w:p>
      <w:pPr>
        <w:spacing w:after="60" w:before="0"/>
        <w:jc w:val="center"/>
      </w:pPr>
      <w:r>
        <w:rPr>
          <w:b/>
          <w:bCs/>
          <w:i w:val="false"/>
          <w:iCs w:val="false"/>
          <w:sz w:val="22"/>
          <w:szCs w:val="22"/>
        </w:rPr>
        <w:t xml:space="preserve">DATA PROCESSING AGREEMENT</w:t>
      </w:r>
    </w:p>
    <w:p>
      <w:pPr>
        <w:spacing w:after="200" w:before="0"/>
        <w:jc w:val="center"/>
      </w:pPr>
      <w:r>
        <w:rPr>
          <w:b w:val="false"/>
          <w:bCs w:val="false"/>
          <w:i/>
          <w:iCs/>
          <w:sz w:val="18"/>
          <w:szCs w:val="18"/>
        </w:rPr>
        <w:t xml:space="preserve">to the Master Software-as-a-Service Agreement between Caspian Technologies Limited (Supplier) and Stratton Energy plc (Customer)</w:t>
      </w:r>
    </w:p>
    <w:p>
      <w:pPr>
        <w:spacing w:after="160" w:before="0"/>
        <w:jc w:val="both"/>
      </w:pPr>
      <w:r>
        <w:rPr>
          <w:b w:val="false"/>
          <w:bCs w:val="false"/>
          <w:i w:val="false"/>
          <w:iCs w:val="false"/>
          <w:sz w:val="21"/>
          <w:szCs w:val="21"/>
        </w:rPr>
        <w:t xml:space="preserve">This Schedule applies to the extent the Supplier processes Customer Personal Data on behalf of the Customer in connection with the Services. Terms used in this Schedule have the meanings given in the UK GDPR and the Data Protection Act 2018.</w:t>
      </w:r>
    </w:p>
    <w:p>
      <w:pPr>
        <w:keepNext/>
        <w:spacing w:after="120" w:before="220"/>
      </w:pPr>
      <w:r>
        <w:rPr>
          <w:b/>
          <w:bCs/>
          <w:sz w:val="24"/>
          <w:szCs w:val="24"/>
        </w:rPr>
        <w:t xml:space="preserve">1.  Roles of the parties</w:t>
      </w:r>
    </w:p>
    <w:p>
      <w:pPr>
        <w:tabs>
          <w:tab w:val="left" w:pos="567"/>
        </w:tabs>
        <w:spacing w:after="120"/>
        <w:ind w:left="567" w:hanging="567"/>
        <w:jc w:val="both"/>
      </w:pPr>
      <w:r>
        <w:rPr>
          <w:sz w:val="21"/>
          <w:szCs w:val="21"/>
        </w:rPr>
        <w:t xml:space="preserve">1.1	The Customer is the controller and the Supplier is the processor in respect of the Customer Personal Data. Each party shall comply with its respective obligations under the Data Protection Laws.</w:t>
      </w:r>
    </w:p>
    <w:p>
      <w:pPr>
        <w:tabs>
          <w:tab w:val="left" w:pos="567"/>
        </w:tabs>
        <w:spacing w:after="120"/>
        <w:ind w:left="567" w:hanging="567"/>
        <w:jc w:val="both"/>
      </w:pPr>
      <w:r>
        <w:rPr>
          <w:sz w:val="21"/>
          <w:szCs w:val="21"/>
        </w:rPr>
        <w:t xml:space="preserve">1.2	The Supplier shall process the Customer Personal Data only on the documented instructions of the Customer (including those set out in this Schedule and the Agreement), unless required to do otherwise by Applicable Law, in which case the Supplier shall inform the Customer of that legal requirement before processing, unless prohibited from doing so.</w:t>
      </w:r>
    </w:p>
    <w:p>
      <w:pPr>
        <w:keepNext/>
        <w:spacing w:after="120" w:before="220"/>
      </w:pPr>
      <w:r>
        <w:rPr>
          <w:b/>
          <w:bCs/>
          <w:sz w:val="24"/>
          <w:szCs w:val="24"/>
        </w:rPr>
        <w:t xml:space="preserve">2.  Subject-matter and details of processing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sz w:val="18"/>
                <w:szCs w:val="18"/>
              </w:rPr>
              <w:t xml:space="preserve">Item</w:t>
            </w:r>
          </w:p>
        </w:tc>
        <w:tc>
          <w:tcPr>
            <w:tcW w:type="dxa" w:w="616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sz w:val="18"/>
                <w:szCs w:val="18"/>
              </w:rPr>
              <w:t xml:space="preserve">Detail</w:t>
            </w:r>
          </w:p>
        </w:tc>
      </w:tr>
      <w:tr>
        <w:trPr>
          <w:tblHeader w:val="false"/>
        </w:trPr>
        <w:tc>
          <w:tcPr>
            <w:tcW w:type="dxa" w:w="3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Subject matter</w:t>
            </w:r>
          </w:p>
        </w:tc>
        <w:tc>
          <w:tcPr>
            <w:tcW w:type="dxa" w:w="6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Provision of the carbon-accounting and emissions-analytics Services</w:t>
            </w:r>
          </w:p>
        </w:tc>
      </w:tr>
      <w:tr>
        <w:trPr>
          <w:tblHeader w:val="false"/>
        </w:trPr>
        <w:tc>
          <w:tcPr>
            <w:tcW w:type="dxa" w:w="30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sz w:val="19"/>
                <w:szCs w:val="19"/>
              </w:rPr>
              <w:t xml:space="preserve">Duration</w:t>
            </w:r>
          </w:p>
        </w:tc>
        <w:tc>
          <w:tcPr>
            <w:tcW w:type="dxa" w:w="61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sz w:val="19"/>
                <w:szCs w:val="19"/>
              </w:rPr>
              <w:t xml:space="preserve">The Term of the Agreement and any data-return / deletion period under clause 9</w:t>
            </w:r>
          </w:p>
        </w:tc>
      </w:tr>
      <w:tr>
        <w:trPr>
          <w:tblHeader w:val="false"/>
        </w:trPr>
        <w:tc>
          <w:tcPr>
            <w:tcW w:type="dxa" w:w="3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Nature and purpose</w:t>
            </w:r>
          </w:p>
        </w:tc>
        <w:tc>
          <w:tcPr>
            <w:tcW w:type="dxa" w:w="6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Hosting, storage, organisation, analysis and reporting of emissions and related business data</w:t>
            </w:r>
          </w:p>
        </w:tc>
      </w:tr>
      <w:tr>
        <w:trPr>
          <w:tblHeader w:val="false"/>
        </w:trPr>
        <w:tc>
          <w:tcPr>
            <w:tcW w:type="dxa" w:w="30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sz w:val="19"/>
                <w:szCs w:val="19"/>
              </w:rPr>
              <w:t xml:space="preserve">Types of personal data</w:t>
            </w:r>
          </w:p>
        </w:tc>
        <w:tc>
          <w:tcPr>
            <w:tcW w:type="dxa" w:w="61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sz w:val="19"/>
                <w:szCs w:val="19"/>
              </w:rPr>
              <w:t xml:space="preserve">Names, job titles and business contact details of Authorised Users and data contributors</w:t>
            </w:r>
          </w:p>
        </w:tc>
      </w:tr>
      <w:tr>
        <w:trPr>
          <w:tblHeader w:val="false"/>
        </w:trPr>
        <w:tc>
          <w:tcPr>
            <w:tcW w:type="dxa" w:w="3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Categories of data subjects</w:t>
            </w:r>
          </w:p>
        </w:tc>
        <w:tc>
          <w:tcPr>
            <w:tcW w:type="dxa" w:w="6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Employees, contractors and suppliers of the Customer and its Affiliates</w:t>
            </w:r>
          </w:p>
        </w:tc>
      </w:tr>
      <w:tr>
        <w:trPr>
          <w:tblHeader w:val="false"/>
        </w:trPr>
        <w:tc>
          <w:tcPr>
            <w:tcW w:type="dxa" w:w="30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sz w:val="19"/>
                <w:szCs w:val="19"/>
              </w:rPr>
              <w:t xml:space="preserve">Special category data</w:t>
            </w:r>
          </w:p>
        </w:tc>
        <w:tc>
          <w:tcPr>
            <w:tcW w:type="dxa" w:w="61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sz w:val="19"/>
                <w:szCs w:val="19"/>
              </w:rPr>
              <w:t xml:space="preserve">None intended; the Customer shall not submit special category data through the Services</w:t>
            </w:r>
          </w:p>
        </w:tc>
      </w:tr>
    </w:tbl>
    <w:p>
      <w:pPr>
        <w:keepNext/>
        <w:spacing w:after="120" w:before="220"/>
      </w:pPr>
      <w:r>
        <w:rPr>
          <w:b/>
          <w:bCs/>
          <w:sz w:val="24"/>
          <w:szCs w:val="24"/>
        </w:rPr>
        <w:t xml:space="preserve">3.  Hosting and international transfers</w:t>
      </w:r>
    </w:p>
    <w:p>
      <w:pPr>
        <w:tabs>
          <w:tab w:val="left" w:pos="567"/>
        </w:tabs>
        <w:spacing w:after="120"/>
        <w:ind w:left="567" w:hanging="567"/>
        <w:jc w:val="both"/>
      </w:pPr>
      <w:r>
        <w:rPr>
          <w:sz w:val="21"/>
          <w:szCs w:val="21"/>
        </w:rPr>
        <w:t xml:space="preserve">3.1	The Supplier shall host all Customer Data within the United Kingdom. The Supplier may appoint Sub-processors located in the European Economic Area, subject to appropriate safeguards and the Customer’s prior approval (not to be unreasonably withheld or delayed).</w:t>
      </w:r>
    </w:p>
    <w:p>
      <w:pPr>
        <w:tabs>
          <w:tab w:val="left" w:pos="567"/>
        </w:tabs>
        <w:spacing w:after="120"/>
        <w:ind w:left="567" w:hanging="567"/>
        <w:jc w:val="both"/>
      </w:pPr>
      <w:r>
        <w:rPr>
          <w:sz w:val="21"/>
          <w:szCs w:val="21"/>
        </w:rPr>
        <w:t xml:space="preserve">3.2	The Supplier shall not transfer Customer Personal Data outside the United Kingdom or the EEA without the Customer’s prior written consent and the implementation of a lawful transfer mechanism under the Data Protection Laws (for example, the UK International Data Transfer Agreement or Addendum).</w:t>
      </w:r>
    </w:p>
    <w:p>
      <w:pPr>
        <w:keepNext/>
        <w:spacing w:after="120" w:before="220"/>
      </w:pPr>
      <w:r>
        <w:rPr>
          <w:b/>
          <w:bCs/>
          <w:sz w:val="24"/>
          <w:szCs w:val="24"/>
        </w:rPr>
        <w:t xml:space="preserve">4.  Security</w:t>
      </w:r>
    </w:p>
    <w:p>
      <w:pPr>
        <w:tabs>
          <w:tab w:val="left" w:pos="567"/>
        </w:tabs>
        <w:spacing w:after="120"/>
        <w:ind w:left="567" w:hanging="567"/>
        <w:jc w:val="both"/>
      </w:pPr>
      <w:r>
        <w:rPr>
          <w:sz w:val="21"/>
          <w:szCs w:val="21"/>
        </w:rPr>
        <w:t xml:space="preserve">4.1	The Supplier shall implement and maintain appropriate technical and organisational measures to ensure a level of security appropriate to the risk, including: encryption of Customer Personal Data in transit and at rest; role-based access controls and least-privilege access; network segmentation and intrusion detection; comprehensive logging and monitoring; regular vulnerability scanning and annual penetration testing; and an information-security management system certified to ISO/IEC 27001.</w:t>
      </w:r>
    </w:p>
    <w:p>
      <w:pPr>
        <w:tabs>
          <w:tab w:val="left" w:pos="567"/>
        </w:tabs>
        <w:spacing w:after="120"/>
        <w:ind w:left="567" w:hanging="567"/>
        <w:jc w:val="both"/>
      </w:pPr>
      <w:r>
        <w:rPr>
          <w:sz w:val="21"/>
          <w:szCs w:val="21"/>
        </w:rPr>
        <w:t xml:space="preserve">4.2	The Supplier shall ensure that persons authorised to process the Customer Personal Data are subject to binding obligations of confidentiality and receive appropriate data-protection training.</w:t>
      </w:r>
    </w:p>
    <w:p>
      <w:pPr>
        <w:keepNext/>
        <w:spacing w:after="120" w:before="220"/>
      </w:pPr>
      <w:r>
        <w:rPr>
          <w:b/>
          <w:bCs/>
          <w:sz w:val="24"/>
          <w:szCs w:val="24"/>
        </w:rPr>
        <w:t xml:space="preserve">5.  Sub-processors</w:t>
      </w:r>
    </w:p>
    <w:p>
      <w:pPr>
        <w:tabs>
          <w:tab w:val="left" w:pos="567"/>
        </w:tabs>
        <w:spacing w:after="120"/>
        <w:ind w:left="567" w:hanging="567"/>
        <w:jc w:val="both"/>
      </w:pPr>
      <w:r>
        <w:rPr>
          <w:sz w:val="21"/>
          <w:szCs w:val="21"/>
        </w:rPr>
        <w:t xml:space="preserve">5.1	The Customer gives general authorisation to the appointment of Sub-processors, subject to this paragraph 5. The Supplier shall maintain an up-to-date list of approved Sub-processors and shall give the Customer not less than 30 days’ written notice of any intended addition or replacement, during which the Customer may object on reasonable data-protection grounds.</w:t>
      </w:r>
    </w:p>
    <w:p>
      <w:pPr>
        <w:tabs>
          <w:tab w:val="left" w:pos="567"/>
        </w:tabs>
        <w:spacing w:after="120"/>
        <w:ind w:left="567" w:hanging="567"/>
        <w:jc w:val="both"/>
      </w:pPr>
      <w:r>
        <w:rPr>
          <w:sz w:val="21"/>
          <w:szCs w:val="21"/>
        </w:rPr>
        <w:t xml:space="preserve">5.2	The Supplier shall procure that each Sub-processor is bound by data-protection obligations no less onerous than those in this Schedule, and the Supplier remains fully liable to the Customer for the acts and omissions of its Sub-processors.</w:t>
      </w:r>
    </w:p>
    <w:p>
      <w:pPr>
        <w:spacing w:after="120" w:before="80"/>
        <w:jc w:val="both"/>
      </w:pPr>
      <w:r>
        <w:rPr>
          <w:b w:val="false"/>
          <w:bCs w:val="false"/>
          <w:i w:val="false"/>
          <w:iCs w:val="false"/>
          <w:sz w:val="21"/>
          <w:szCs w:val="21"/>
        </w:rPr>
        <w:t xml:space="preserve">Approved Sub-processors (as at the date of the Agreement):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160"/>
      </w:tblGrid>
      <w:tr>
        <w:trPr>
          <w:tblHeader/>
        </w:trPr>
        <w:tc>
          <w:tcPr>
            <w:tcW w:type="dxa" w:w="260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sz w:val="18"/>
                <w:szCs w:val="18"/>
              </w:rPr>
              <w:t xml:space="preserve">Sub-processor</w:t>
            </w:r>
          </w:p>
        </w:tc>
        <w:tc>
          <w:tcPr>
            <w:tcW w:type="dxa" w:w="340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sz w:val="18"/>
                <w:szCs w:val="18"/>
              </w:rPr>
              <w:t xml:space="preserve">Service</w:t>
            </w:r>
          </w:p>
        </w:tc>
        <w:tc>
          <w:tcPr>
            <w:tcW w:type="dxa" w:w="316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sz w:val="18"/>
                <w:szCs w:val="18"/>
              </w:rPr>
              <w:t xml:space="preserve">Location</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UK cloud infrastructure provider</w:t>
            </w:r>
          </w:p>
        </w:tc>
        <w:tc>
          <w:tcPr>
            <w:tcW w:type="dxa" w:w="3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Production hosting and storage</w:t>
            </w:r>
          </w:p>
        </w:tc>
        <w:tc>
          <w:tcPr>
            <w:tcW w:type="dxa" w:w="3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United Kingdom (London region)</w:t>
            </w:r>
          </w:p>
        </w:tc>
      </w:tr>
      <w:tr>
        <w:trPr>
          <w:tblHeader w:val="false"/>
        </w:trPr>
        <w:tc>
          <w:tcPr>
            <w:tcW w:type="dxa" w:w="26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sz w:val="19"/>
                <w:szCs w:val="19"/>
              </w:rPr>
              <w:t xml:space="preserve">EEA backup provider</w:t>
            </w:r>
          </w:p>
        </w:tc>
        <w:tc>
          <w:tcPr>
            <w:tcW w:type="dxa" w:w="34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sz w:val="19"/>
                <w:szCs w:val="19"/>
              </w:rPr>
              <w:t xml:space="preserve">Encrypted off-site backup</w:t>
            </w:r>
          </w:p>
        </w:tc>
        <w:tc>
          <w:tcPr>
            <w:tcW w:type="dxa" w:w="31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sz w:val="19"/>
                <w:szCs w:val="19"/>
              </w:rPr>
              <w:t xml:space="preserve">Republic of Ireland (EEA)</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Email / notifications provider</w:t>
            </w:r>
          </w:p>
        </w:tc>
        <w:tc>
          <w:tcPr>
            <w:tcW w:type="dxa" w:w="3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Transactional email delivery</w:t>
            </w:r>
          </w:p>
        </w:tc>
        <w:tc>
          <w:tcPr>
            <w:tcW w:type="dxa" w:w="3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United Kingdom</w:t>
            </w:r>
          </w:p>
        </w:tc>
      </w:tr>
    </w:tbl>
    <w:p>
      <w:pPr>
        <w:keepNext/>
        <w:spacing w:after="120" w:before="220"/>
      </w:pPr>
      <w:r>
        <w:rPr>
          <w:b/>
          <w:bCs/>
          <w:sz w:val="24"/>
          <w:szCs w:val="24"/>
        </w:rPr>
        <w:t xml:space="preserve">6.  Data-subject rights and assistance</w:t>
      </w:r>
    </w:p>
    <w:p>
      <w:pPr>
        <w:tabs>
          <w:tab w:val="left" w:pos="567"/>
        </w:tabs>
        <w:spacing w:after="120"/>
        <w:ind w:left="567" w:hanging="567"/>
        <w:jc w:val="both"/>
      </w:pPr>
      <w:r>
        <w:rPr>
          <w:sz w:val="21"/>
          <w:szCs w:val="21"/>
        </w:rPr>
        <w:t xml:space="preserve">6.1	Taking into account the nature of the processing, the Supplier shall assist the Customer by appropriate technical and organisational measures, insofar as possible, to respond to requests to exercise data-subject rights, and to comply with the Customer’s obligations relating to security, breach notification, data-protection impact assessments and prior consultation under the Data Protection Laws.</w:t>
      </w:r>
    </w:p>
    <w:p>
      <w:pPr>
        <w:tabs>
          <w:tab w:val="left" w:pos="567"/>
        </w:tabs>
        <w:spacing w:after="120"/>
        <w:ind w:left="567" w:hanging="567"/>
        <w:jc w:val="both"/>
      </w:pPr>
      <w:r>
        <w:rPr>
          <w:sz w:val="21"/>
          <w:szCs w:val="21"/>
        </w:rPr>
        <w:t xml:space="preserve">6.2	The Supplier shall notify the Customer without undue delay, and in any event within 48 hours, after becoming aware of a personal data breach affecting the Customer Personal Data, and shall provide sufficient information to enable the Customer to meet any reporting obligations.</w:t>
      </w:r>
    </w:p>
    <w:p>
      <w:pPr>
        <w:keepNext/>
        <w:spacing w:after="120" w:before="220"/>
      </w:pPr>
      <w:r>
        <w:rPr>
          <w:b/>
          <w:bCs/>
          <w:sz w:val="24"/>
          <w:szCs w:val="24"/>
        </w:rPr>
        <w:t xml:space="preserve">7.  Audit</w:t>
      </w:r>
    </w:p>
    <w:p>
      <w:pPr>
        <w:tabs>
          <w:tab w:val="left" w:pos="567"/>
        </w:tabs>
        <w:spacing w:after="120"/>
        <w:ind w:left="567" w:hanging="567"/>
        <w:jc w:val="both"/>
      </w:pPr>
      <w:r>
        <w:rPr>
          <w:sz w:val="21"/>
          <w:szCs w:val="21"/>
        </w:rPr>
        <w:t xml:space="preserve">7.1	The Supplier shall make available to the Customer all information necessary to demonstrate compliance with this Schedule and shall allow for and contribute to audits, including inspections, conducted by the Customer or an auditor mandated by the Customer, on not less than 20 Business Days’ notice and no more than once in any 12-month period (save where required by a regulator or following a personal data breach).</w:t>
      </w:r>
    </w:p>
    <w:p>
      <w:pPr>
        <w:keepNext/>
        <w:spacing w:after="120" w:before="220"/>
      </w:pPr>
      <w:r>
        <w:rPr>
          <w:b/>
          <w:bCs/>
          <w:sz w:val="24"/>
          <w:szCs w:val="24"/>
        </w:rPr>
        <w:t xml:space="preserve">8.  Return and deletion</w:t>
      </w:r>
    </w:p>
    <w:p>
      <w:pPr>
        <w:tabs>
          <w:tab w:val="left" w:pos="567"/>
        </w:tabs>
        <w:spacing w:after="120"/>
        <w:ind w:left="567" w:hanging="567"/>
        <w:jc w:val="both"/>
      </w:pPr>
      <w:r>
        <w:rPr>
          <w:sz w:val="21"/>
          <w:szCs w:val="21"/>
        </w:rPr>
        <w:t xml:space="preserve">8.1	On termination of the Services, the Supplier shall, at the Customer’s choice, return or securely delete the Customer Personal Data in accordance with clause 9 of the Agreement, save to the extent retention is required by Applicable Law.</w:t>
      </w:r>
    </w:p>
    <w:p>
      <w:pPr>
        <w:spacing w:after="120" w:before="200"/>
        <w:jc w:val="center"/>
      </w:pPr>
      <w:r>
        <w:rPr>
          <w:b w:val="false"/>
          <w:bCs w:val="false"/>
          <w:i/>
          <w:iCs/>
          <w:sz w:val="16"/>
          <w:szCs w:val="16"/>
        </w:rPr>
        <w:t xml:space="preserve">Confidential and may be legally privileged.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88888"/>
        <w:sz w:val="15"/>
        <w:szCs w:val="15"/>
      </w:rPr>
      <w:t xml:space="preserve">Schedule 3 (DPA) – Caspian / Stratton Energy MSA</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3 – Data Processing Agreement</dc:title>
  <dc:creator>Whitfield Carter LLP</dc:creator>
  <cp:lastModifiedBy>Un-named</cp:lastModifiedBy>
  <cp:revision>1</cp:revision>
  <dcterms:created xsi:type="dcterms:W3CDTF">2026-06-10T23:16:26.469Z</dcterms:created>
  <dcterms:modified xsi:type="dcterms:W3CDTF">2026-06-10T23:16:26.469Z</dcterms:modified>
</cp:coreProperties>
</file>

<file path=docProps/custom.xml><?xml version="1.0" encoding="utf-8"?>
<Properties xmlns="http://schemas.openxmlformats.org/officeDocument/2006/custom-properties" xmlns:vt="http://schemas.openxmlformats.org/officeDocument/2006/docPropsVTypes"/>
</file>