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sz w:val="26"/>
        </w:rPr>
        <w:t>COBALT PHOTONICS LIMITED</w:t>
      </w:r>
    </w:p>
    <w:p>
      <w:pPr>
        <w:spacing w:after="40"/>
        <w:jc w:val="center"/>
      </w:pPr>
      <w:r>
        <w:rPr>
          <w:b w:val="0"/>
          <w:i w:val="0"/>
          <w:sz w:val="22"/>
        </w:rPr>
        <w:t>(Company number 11894522)</w:t>
      </w:r>
    </w:p>
    <w:p>
      <w:pPr>
        <w:spacing w:after="200"/>
        <w:jc w:val="center"/>
      </w:pPr>
      <w:r>
        <w:rPr>
          <w:b/>
          <w:i w:val="0"/>
          <w:sz w:val="22"/>
        </w:rPr>
        <w:t>MINUTES OF A MEETING OF THE BOARD OF DIRECTORS</w:t>
      </w:r>
    </w:p>
    <w:p>
      <w:pPr>
        <w:spacing w:after="200"/>
      </w:pPr>
      <w:r>
        <w:rPr>
          <w:b w:val="0"/>
          <w:i w:val="0"/>
          <w:sz w:val="22"/>
        </w:rPr>
        <w:t>Held at Unit 7, Granta Park, Great Abington, Cambridge on 10 February 2026 at 10.00 a.m.</w:t>
      </w:r>
    </w:p>
    <w:p>
      <w:pPr>
        <w:spacing w:after="40"/>
      </w:pPr>
      <w:r>
        <w:rPr>
          <w:b/>
          <w:i w:val="0"/>
          <w:sz w:val="22"/>
        </w:rPr>
        <w:t>Present:</w:t>
      </w:r>
    </w:p>
    <w:p>
      <w:pPr>
        <w:spacing w:after="120"/>
      </w:pPr>
      <w:r>
        <w:rPr>
          <w:b w:val="0"/>
          <w:i w:val="0"/>
          <w:sz w:val="22"/>
        </w:rPr>
        <w:t>Dr Eleanor Voss (Chair, Chief Executive Officer); Mr Daniel Okafor (Chief Financial Officer); Dr Priya Raman (Chief Technology Officer); Ms Helen Marsh (Non-Executive Director).</w:t>
      </w:r>
    </w:p>
    <w:p>
      <w:pPr>
        <w:spacing w:after="40"/>
      </w:pPr>
      <w:r>
        <w:rPr>
          <w:b/>
          <w:i w:val="0"/>
          <w:sz w:val="22"/>
        </w:rPr>
        <w:t>In attendance:</w:t>
      </w:r>
    </w:p>
    <w:p>
      <w:pPr>
        <w:spacing w:after="160"/>
      </w:pPr>
      <w:r>
        <w:rPr>
          <w:b w:val="0"/>
          <w:i w:val="0"/>
          <w:sz w:val="22"/>
        </w:rPr>
        <w:t>Mr James Osei of Whitfield Carter LLP (by invitation).</w:t>
      </w:r>
    </w:p>
    <w:p>
      <w:pPr>
        <w:pStyle w:val="Heading2"/>
      </w:pPr>
      <w:r>
        <w:t>1.  Quorum and notice</w:t>
      </w:r>
    </w:p>
    <w:p>
      <w:pPr>
        <w:spacing w:after="120"/>
      </w:pPr>
      <w:r>
        <w:rPr>
          <w:b w:val="0"/>
          <w:i w:val="0"/>
          <w:sz w:val="22"/>
        </w:rPr>
        <w:t>The Chair noted that a quorum was present and that the meeting had been duly convened. No director declared any interest in the matters to be considered beyond those previously disclosed.</w:t>
      </w:r>
    </w:p>
    <w:p>
      <w:pPr>
        <w:pStyle w:val="Heading2"/>
      </w:pPr>
      <w:r>
        <w:t>2.  Project Indigo — Patent and Know-How Licence</w:t>
      </w:r>
    </w:p>
    <w:p>
      <w:pPr>
        <w:spacing w:after="120"/>
      </w:pPr>
      <w:r>
        <w:rPr>
          <w:b w:val="0"/>
          <w:i w:val="0"/>
          <w:sz w:val="22"/>
        </w:rPr>
        <w:t>The Board considered the proposed grant of an exclusive patent and know-how licence over the Helios FMCW LiDAR technology to Tessandri Instruments S.p.A. of Milan, within the industrial and robotics field of use for the EEA, UK and Switzerland. The Chair summarised the principal commercial terms: an upfront fee of £4,500,000, a running royalty of 4.5% of net sales, a minimum annual royalty of £750,000 from the second contract year, and a technology-transfer programme. Mr Osei summarised the legal terms and confirmed that the IP ownership review and the disclosure exercise had been completed and that a freedom-to-operate opinion had been obtained.</w:t>
      </w:r>
    </w:p>
    <w:p>
      <w:pPr>
        <w:pStyle w:val="Heading2"/>
      </w:pPr>
      <w:r>
        <w:t>3.  Consideration</w:t>
      </w:r>
    </w:p>
    <w:p>
      <w:pPr>
        <w:spacing w:after="120"/>
      </w:pPr>
      <w:r>
        <w:rPr>
          <w:b w:val="0"/>
          <w:i w:val="0"/>
          <w:sz w:val="22"/>
        </w:rPr>
        <w:t>The Board discussed the protection of the automotive ADAS field, which is reserved to the Company, and the audit and minimum-royalty provisions. The Board was satisfied that the licence was in the best interests of the Company and likely to promote its success for the benefit of its members as a whole.</w:t>
      </w:r>
    </w:p>
    <w:p>
      <w:pPr>
        <w:pStyle w:val="Heading2"/>
      </w:pPr>
      <w:r>
        <w:t>4.  Resolutions</w:t>
      </w:r>
    </w:p>
    <w:p>
      <w:pPr>
        <w:spacing w:after="120"/>
        <w:ind w:left="567"/>
      </w:pPr>
      <w:r>
        <w:rPr>
          <w:b/>
        </w:rPr>
        <w:t xml:space="preserve">IT WAS RESOLVED THAT </w:t>
      </w:r>
      <w:r>
        <w:t>the entry by the Company into the Patent and Know-How Licence Agreement with Tessandri Instruments S.p.A. substantially in the form produced to the meeting be and is hereby approved;</w:t>
      </w:r>
    </w:p>
    <w:p>
      <w:pPr>
        <w:spacing w:after="120"/>
        <w:ind w:left="567"/>
      </w:pPr>
      <w:r>
        <w:rPr>
          <w:b/>
        </w:rPr>
        <w:t xml:space="preserve">IT WAS RESOLVED THAT </w:t>
      </w:r>
      <w:r>
        <w:t>any one director be and is hereby authorised to agree such amendments to the Agreement as he or she considers appropriate and to execute the Agreement and any related documents for and on behalf of the Company; and</w:t>
      </w:r>
    </w:p>
    <w:p>
      <w:pPr>
        <w:spacing w:after="120"/>
        <w:ind w:left="567"/>
      </w:pPr>
      <w:r>
        <w:rPr>
          <w:b/>
        </w:rPr>
        <w:t xml:space="preserve">IT WAS RESOLVED THAT </w:t>
      </w:r>
      <w:r>
        <w:t>the entry by the Company into the related Disclosure Letter be and is hereby approved.</w:t>
      </w:r>
    </w:p>
    <w:p>
      <w:pPr>
        <w:pStyle w:val="Heading2"/>
      </w:pPr>
      <w:r>
        <w:t>5.  Close</w:t>
      </w:r>
    </w:p>
    <w:p>
      <w:pPr>
        <w:spacing w:after="240"/>
      </w:pPr>
      <w:r>
        <w:rPr>
          <w:b w:val="0"/>
          <w:i w:val="0"/>
          <w:sz w:val="22"/>
        </w:rPr>
        <w:t>There being no further business, the Chair declared the meeting closed.</w:t>
      </w:r>
    </w:p>
    <w:p>
      <w:pPr>
        <w:spacing w:after="0"/>
      </w:pPr>
      <w:r>
        <w:rPr>
          <w:b w:val="0"/>
          <w:i w:val="0"/>
          <w:sz w:val="22"/>
        </w:rPr>
        <w:t>____________________</w:t>
      </w:r>
    </w:p>
    <w:p>
      <w:pPr>
        <w:spacing w:after="40"/>
      </w:pPr>
      <w:r>
        <w:rPr>
          <w:b w:val="0"/>
          <w:i w:val="0"/>
          <w:sz w:val="22"/>
        </w:rPr>
        <w:t>Dr Eleanor Voss, Chair</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4"/>
      </w:rPr>
      <w:t>Whitfield Carter LLP is a limited liability partnership registered in England and Wales (OC382214). Confidential and may be legally privileged.</w:t>
    </w:r>
  </w:p>
  <w:p>
    <w:pPr>
      <w:jc w:val="center"/>
    </w:pPr>
    <w:r>
      <w:rPr>
        <w:sz w:val="16"/>
      </w:rPr>
      <w:fldSimple w:instr="PAGE"/>
    </w:r>
    <w:r>
      <w:rPr>
        <w:sz w:val="16"/>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