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6"/>
        </w:rPr>
        <w:t>PROJECT INDIGO</w:t>
      </w:r>
    </w:p>
    <w:p>
      <w:pPr>
        <w:spacing w:after="40"/>
        <w:jc w:val="center"/>
      </w:pPr>
      <w:r>
        <w:rPr>
          <w:b/>
          <w:i w:val="0"/>
          <w:sz w:val="22"/>
        </w:rPr>
        <w:t>COMPLETION CHECKLIST</w:t>
      </w:r>
    </w:p>
    <w:p>
      <w:pPr>
        <w:spacing w:after="40"/>
        <w:jc w:val="center"/>
      </w:pPr>
      <w:r>
        <w:rPr>
          <w:b w:val="0"/>
          <w:i/>
          <w:sz w:val="22"/>
        </w:rPr>
        <w:t>Patent and Know-How Licence — Cobalt Photonics / Tessandri Instruments</w:t>
      </w:r>
    </w:p>
    <w:p>
      <w:pPr>
        <w:spacing w:after="200"/>
        <w:jc w:val="center"/>
      </w:pPr>
      <w:r>
        <w:rPr>
          <w:b w:val="0"/>
          <w:i w:val="0"/>
          <w:sz w:val="22"/>
        </w:rPr>
        <w:t>Target completion: 16 February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>No.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Document / Step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1587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Mutual NDA (executed)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WC / Castle counsel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Term Sheet signed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Parties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IP ownership &amp; encumbrance review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T. Gallagher (WC)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Freedom-to-operate opinion (Hartington IP)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Hartington IP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Patent and Know-How Licence Agreement — final form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E. Marchetti (WC)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Agreed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Disclosure Letter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Cobalt / WC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Agreed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Cobalt board approval (minutes)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Cobalt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Tessandri board approval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Tessandri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Schedule 1 (Patent Schedule) finalised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Hartington IP / WC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Technology-transfer plan (Schedule 2) agreed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Cobalt CTO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Complete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Execution of Licence Agreement (counterparts)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Parties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At completion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Payment of first upfront instalment (£2,000,000)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Tessandri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At completion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Registration of licence at relevant patent offices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Hartington IP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  <w:t>Post-completion</w:t>
            </w:r>
          </w:p>
        </w:tc>
      </w:tr>
    </w:tbl>
    <w:p>
      <w:pPr>
        <w:spacing w:after="16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/>
          <w:sz w:val="18"/>
        </w:rPr>
        <w:t>Prepared by Whitfield Carter LLP. This checklist is for working purposes only and does not vary the terms of the Licence Agreement.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(OC382214). Confidential and may be legally privileged.</w:t>
    </w:r>
  </w:p>
  <w:p>
    <w:pPr>
      <w:jc w:val="center"/>
    </w:pPr>
    <w:r>
      <w:rPr>
        <w:sz w:val="16"/>
      </w:rPr>
      <w:fldSimple w:instr="PAGE"/>
    </w:r>
    <w:r>
      <w:rPr>
        <w:sz w:val="16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