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28"/>
        </w:rPr>
        <w:t>DISCLOSURE LETTER</w:t>
      </w:r>
    </w:p>
    <w:p>
      <w:pPr>
        <w:spacing w:after="200"/>
        <w:jc w:val="center"/>
      </w:pPr>
      <w:r>
        <w:rPr>
          <w:b w:val="0"/>
          <w:i/>
          <w:sz w:val="22"/>
        </w:rPr>
        <w:t>Project Indigo — Patent and Know-How Licence Agreement</w:t>
      </w:r>
    </w:p>
    <w:p>
      <w:pPr>
        <w:spacing w:after="40"/>
      </w:pPr>
      <w:r>
        <w:rPr>
          <w:b w:val="0"/>
          <w:i w:val="0"/>
          <w:sz w:val="22"/>
        </w:rPr>
        <w:t>From: Cobalt Photonics Limited (the “Licensor”)</w:t>
      </w:r>
    </w:p>
    <w:p>
      <w:pPr>
        <w:spacing w:after="40"/>
      </w:pPr>
      <w:r>
        <w:rPr>
          <w:b w:val="0"/>
          <w:i w:val="0"/>
          <w:sz w:val="22"/>
        </w:rPr>
        <w:t>To: Tessandri Instruments S.p.A. (the “Licensee”)</w:t>
      </w:r>
    </w:p>
    <w:p>
      <w:pPr>
        <w:spacing w:after="200"/>
      </w:pPr>
      <w:r>
        <w:rPr>
          <w:b w:val="0"/>
          <w:i w:val="0"/>
          <w:sz w:val="22"/>
        </w:rPr>
        <w:t>Date: 9 February 2026</w:t>
      </w:r>
    </w:p>
    <w:p>
      <w:pPr>
        <w:spacing w:after="160"/>
      </w:pPr>
      <w:r>
        <w:rPr>
          <w:b w:val="0"/>
          <w:i w:val="0"/>
          <w:sz w:val="22"/>
        </w:rPr>
        <w:t>Dear Sirs</w:t>
      </w:r>
    </w:p>
    <w:p>
      <w:pPr>
        <w:spacing w:after="160"/>
      </w:pPr>
      <w:r>
        <w:rPr>
          <w:b/>
          <w:i w:val="0"/>
          <w:sz w:val="22"/>
        </w:rPr>
        <w:t>Project Indigo — Disclosure Letter</w:t>
      </w:r>
    </w:p>
    <w:p>
      <w:pPr>
        <w:spacing w:after="160"/>
      </w:pPr>
      <w:r>
        <w:rPr>
          <w:b w:val="0"/>
          <w:i w:val="0"/>
          <w:sz w:val="22"/>
        </w:rPr>
        <w:t>This letter is the Disclosure Letter referred to in the Patent and Know-How Licence Agreement to be entered into between us in relation to the Helios FMCW LiDAR technology (the “Agreement”). Terms defined in the Agreement have the same meaning in this letter. This letter qualifies the Warranties set out in Schedule 4 of the Agreement. Matters fairly disclosed in this letter, and matters apparent from the documents in the data room, are deemed to be disclosed against the Warranties.</w:t>
      </w:r>
    </w:p>
    <w:p>
      <w:pPr>
        <w:pStyle w:val="Heading2"/>
      </w:pPr>
      <w:r>
        <w:t>1.  General disclosures</w:t>
      </w:r>
    </w:p>
    <w:p>
      <w:pPr>
        <w:spacing w:after="160"/>
      </w:pPr>
      <w:r>
        <w:rPr>
          <w:b w:val="0"/>
          <w:i w:val="0"/>
          <w:sz w:val="22"/>
        </w:rPr>
        <w:t>The following are disclosed generally against all of the Warranties: (a) all matters provided for in or apparent from the Agreement; (b) all matters recorded at Companies House in respect of the Licensor; (c) the contents of the IP register entries for the Licensed Patents at the EPO, USPTO, CNIPA and JPO; and (d) the documents made available in the Project Indigo data room, an index of which has been provided to the Licensee.</w:t>
      </w:r>
    </w:p>
    <w:p>
      <w:pPr>
        <w:pStyle w:val="Heading2"/>
      </w:pPr>
      <w:r>
        <w:t>2.  Specific disclosures</w:t>
      </w:r>
    </w:p>
    <w:p>
      <w:pPr>
        <w:spacing w:after="120"/>
        <w:ind w:left="567" w:hanging="567"/>
      </w:pPr>
      <w:r>
        <w:t>1.</w:t>
        <w:tab/>
      </w:r>
      <w:r>
        <w:rPr>
          <w:b/>
        </w:rPr>
        <w:t xml:space="preserve">Warranty 2 (subsistence and validity of patents) — </w:t>
      </w:r>
      <w:r>
        <w:t>Application EP3712889 (one of the four pending applications in the Helios family) received a communication under Article 94(3) EPC dated 14 November 2025 raising an inventive-step objection over prior art document D1 (US9,851,433). The Licensor’s patent attorneys (Hartington IP) have filed a response on 7 January 2026 and consider the objection can be overcome by amendment. The application remains pending.</w:t>
      </w:r>
    </w:p>
    <w:p>
      <w:pPr>
        <w:spacing w:after="120"/>
        <w:ind w:left="567" w:hanging="567"/>
      </w:pPr>
      <w:r>
        <w:t>2.</w:t>
        <w:tab/>
      </w:r>
      <w:r>
        <w:rPr>
          <w:b/>
        </w:rPr>
        <w:t xml:space="preserve">Warranty 4 (non-infringement) — </w:t>
      </w:r>
      <w:r>
        <w:t>The Licensor is aware of a granted third-party patent, US10,114,202 (held by a US sensor company), which contains broad claims to FMCW detection. The Licensor obtained a freedom-to-operate opinion from Hartington IP dated 3 December 2025 concluding that the Helios architecture does not fall within the claims of US10,114,202 as properly construed. A copy of the opinion is in the data room.</w:t>
      </w:r>
    </w:p>
    <w:p>
      <w:pPr>
        <w:spacing w:after="120"/>
        <w:ind w:left="567" w:hanging="567"/>
      </w:pPr>
      <w:r>
        <w:t>3.</w:t>
        <w:tab/>
      </w:r>
      <w:r>
        <w:rPr>
          <w:b/>
        </w:rPr>
        <w:t xml:space="preserve">Warranty 3 (no inconsistent licences) — </w:t>
      </w:r>
      <w:r>
        <w:t>The Licensor granted a non-exclusive research licence of the Helios Technology to the University of Cambridge for academic, non-commercial use only. This licence is limited to non-commercial research and does not permit any exploitation within the Field of Use.</w:t>
      </w:r>
    </w:p>
    <w:p>
      <w:pPr>
        <w:spacing w:after="120"/>
        <w:ind w:left="567" w:hanging="567"/>
      </w:pPr>
      <w:r>
        <w:t>4.</w:t>
        <w:tab/>
      </w:r>
      <w:r>
        <w:rPr>
          <w:b/>
        </w:rPr>
        <w:t xml:space="preserve">Warranty 6 (confidentiality of Know-How) — </w:t>
      </w:r>
      <w:r>
        <w:t>Two former employees of the Licensor left in 2024 and are now employed by a competitor. Both are bound by post-termination confidentiality and non-use obligations and there is no evidence of any breach. The Licensor mentions this for completeness.</w:t>
      </w:r>
    </w:p>
    <w:p>
      <w:pPr>
        <w:spacing w:after="160"/>
      </w:pPr>
      <w:r>
        <w:rPr>
          <w:b w:val="0"/>
          <w:i w:val="0"/>
          <w:sz w:val="22"/>
        </w:rPr>
      </w:r>
    </w:p>
    <w:p>
      <w:pPr>
        <w:spacing w:after="200"/>
      </w:pPr>
      <w:r>
        <w:rPr>
          <w:b w:val="0"/>
          <w:i w:val="0"/>
          <w:sz w:val="22"/>
        </w:rPr>
        <w:t>Yours faithfully</w:t>
      </w:r>
    </w:p>
    <w:p>
      <w:pPr>
        <w:spacing w:after="40"/>
      </w:pPr>
      <w:r>
        <w:rPr>
          <w:b w:val="0"/>
          <w:i w:val="0"/>
          <w:sz w:val="22"/>
        </w:rPr>
        <w:t>For and on behalf of Cobalt Photonics Limited</w:t>
      </w:r>
    </w:p>
    <w:p>
      <w:pPr>
        <w:spacing w:after="40"/>
      </w:pPr>
      <w:r>
        <w:rPr>
          <w:b w:val="0"/>
          <w:i w:val="0"/>
          <w:sz w:val="22"/>
        </w:rPr>
        <w:t>____________________   Dr Eleanor Voss, Director</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4"/>
      </w:rPr>
      <w:t>Whitfield Carter LLP is a limited liability partnership registered in England and Wales (OC382214). Confidential and may be legally privileged.</w:t>
    </w:r>
  </w:p>
  <w:p>
    <w:pPr>
      <w:jc w:val="center"/>
    </w:pPr>
    <w:r>
      <w:rPr>
        <w:sz w:val="16"/>
      </w:rPr>
      <w:fldSimple w:instr="PAGE"/>
    </w:r>
    <w:r>
      <w:rPr>
        <w:sz w:val="16"/>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