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b/>
          <w:color w:val="1F3864"/>
          <w:sz w:val="26"/>
        </w:rPr>
        <w:t>Whitfield Carter LLP</w:t>
      </w:r>
    </w:p>
    <w:p>
      <w:pPr>
        <w:spacing w:after="0"/>
        <w:jc w:val="right"/>
      </w:pPr>
      <w:r>
        <w:rPr>
          <w:b w:val="0"/>
          <w:sz w:val="16"/>
        </w:rPr>
        <w:t>22 Bishopsgate, London EC2N 4BQ</w:t>
      </w:r>
    </w:p>
    <w:p>
      <w:pPr>
        <w:spacing w:after="0"/>
        <w:jc w:val="right"/>
      </w:pPr>
      <w:r>
        <w:rPr>
          <w:b w:val="0"/>
          <w:sz w:val="16"/>
        </w:rPr>
        <w:t>DX 178632 Bishopsgate  |  T +44 (0)20 7946 0500</w:t>
      </w:r>
    </w:p>
    <w:p>
      <w:pPr>
        <w:spacing w:after="0"/>
        <w:jc w:val="right"/>
      </w:pPr>
      <w:r>
        <w:rPr>
          <w:b w:val="0"/>
          <w:sz w:val="16"/>
        </w:rPr>
        <w:t>www.whitfieldcarter.com</w:t>
      </w:r>
    </w:p>
    <w:p>
      <w:pPr>
        <w:pBdr>
          <w:bottom w:val="single" w:sz="6" w:space="1" w:color="1F3864"/>
        </w:pBdr>
      </w:pPr>
    </w:p>
    <w:p>
      <w:pPr>
        <w:spacing w:after="160"/>
      </w:pPr>
      <w:r>
        <w:rPr>
          <w:b/>
          <w:i w:val="0"/>
          <w:sz w:val="22"/>
        </w:rPr>
        <w:t>Private &amp; Confidential</w:t>
      </w:r>
    </w:p>
    <w:p>
      <w:pPr>
        <w:spacing w:after="0"/>
      </w:pPr>
      <w:r>
        <w:rPr>
          <w:b w:val="0"/>
          <w:i w:val="0"/>
          <w:sz w:val="22"/>
        </w:rPr>
        <w:t>Dr Eleanor Voss</w:t>
      </w:r>
    </w:p>
    <w:p>
      <w:pPr>
        <w:spacing w:after="0"/>
      </w:pPr>
      <w:r>
        <w:rPr>
          <w:b w:val="0"/>
          <w:i w:val="0"/>
          <w:sz w:val="22"/>
        </w:rPr>
        <w:t>Chief Executive Officer</w:t>
      </w:r>
    </w:p>
    <w:p>
      <w:pPr>
        <w:spacing w:after="0"/>
      </w:pPr>
      <w:r>
        <w:rPr>
          <w:b w:val="0"/>
          <w:i w:val="0"/>
          <w:sz w:val="22"/>
        </w:rPr>
        <w:t>Cobalt Photonics Limited</w:t>
      </w:r>
    </w:p>
    <w:p>
      <w:pPr>
        <w:spacing w:after="200"/>
      </w:pPr>
      <w:r>
        <w:rPr>
          <w:b w:val="0"/>
          <w:i w:val="0"/>
          <w:sz w:val="22"/>
        </w:rPr>
        <w:t>Unit 7, Granta Park, Great Abington, Cambridge CB21 6GP</w:t>
      </w:r>
    </w:p>
    <w:p>
      <w:pPr>
        <w:spacing w:after="200"/>
      </w:pPr>
      <w:r>
        <w:rPr>
          <w:b w:val="0"/>
          <w:i w:val="0"/>
          <w:sz w:val="22"/>
        </w:rPr>
        <w:t>26 September 2025</w:t>
      </w:r>
    </w:p>
    <w:p>
      <w:pPr>
        <w:spacing w:after="160"/>
      </w:pPr>
      <w:r>
        <w:rPr>
          <w:b w:val="0"/>
          <w:i w:val="0"/>
          <w:sz w:val="22"/>
        </w:rPr>
        <w:t>Dear Eleanor</w:t>
      </w:r>
    </w:p>
    <w:p>
      <w:pPr>
        <w:spacing w:after="160"/>
      </w:pPr>
      <w:r>
        <w:rPr>
          <w:b/>
          <w:i w:val="0"/>
          <w:sz w:val="22"/>
        </w:rPr>
        <w:t>Project Indigo — proposed licensing of the Helios LiDAR technology to Tessandri Instruments S.p.A.</w:t>
      </w:r>
    </w:p>
    <w:p>
      <w:pPr>
        <w:spacing w:after="160"/>
      </w:pPr>
      <w:r>
        <w:rPr>
          <w:b w:val="0"/>
          <w:i w:val="0"/>
          <w:sz w:val="22"/>
        </w:rPr>
        <w:t>Thank you for instructing Whitfield Carter LLP in connection with the proposed grant of a patent and know-how licence over Cobalt’s Helios FMCW LiDAR technology to Tessandri Instruments S.p.A. of Milan. This letter sets out the scope of our engagement, our team and our fee arrangements.</w:t>
      </w:r>
    </w:p>
    <w:p>
      <w:pPr>
        <w:pStyle w:val="Heading2"/>
      </w:pPr>
      <w:r>
        <w:t>Scope of work</w:t>
      </w:r>
    </w:p>
    <w:p>
      <w:pPr>
        <w:spacing w:after="160"/>
      </w:pPr>
      <w:r>
        <w:rPr>
          <w:b w:val="0"/>
          <w:i w:val="0"/>
          <w:sz w:val="22"/>
        </w:rPr>
        <w:t>Our instructions are to advise on and document the proposed licence. We anticipate the following workstreams: (i) reviewing and finalising the mutual non-disclosure agreement and the heads of terms / term sheet; (ii) carrying out an IP ownership and encumbrance review of the Helios patent family in support of the licence warranties; (iii) drafting and negotiating the Patent and Know-How Licence Agreement and its schedules, including the technology-transfer programme and the royalty and audit provisions; (iv) advising on competition-law aspects of the exclusivity and field-of-use restrictions (including the Technology Transfer Block Exemption); and (v) managing signature and completion.</w:t>
      </w:r>
    </w:p>
    <w:p>
      <w:pPr>
        <w:pStyle w:val="Heading2"/>
      </w:pPr>
      <w:r>
        <w:t>Our team</w:t>
      </w:r>
    </w:p>
    <w:p>
      <w:pPr>
        <w:spacing w:after="160"/>
      </w:pPr>
      <w:r>
        <w:rPr>
          <w:b w:val="0"/>
          <w:i w:val="0"/>
          <w:sz w:val="22"/>
        </w:rPr>
        <w:t>The matter will be led by James Osei (Senior Associate, acting partner-in-charge for this engagement), supported by Elena Marchetti (Associate) on the licence drafting and Tom Gallagher (Associate) on the IP review and competition analysis. Sarah Whitfield (Partner) retains overall supervisory responsibility.</w:t>
      </w:r>
    </w:p>
    <w:p>
      <w:pPr>
        <w:pStyle w:val="Heading2"/>
      </w:pPr>
      <w:r>
        <w:t>Fees</w:t>
      </w:r>
    </w:p>
    <w:p>
      <w:pPr>
        <w:spacing w:after="160"/>
      </w:pPr>
      <w:r>
        <w:rPr>
          <w:b w:val="0"/>
          <w:i w:val="0"/>
          <w:sz w:val="22"/>
        </w:rPr>
        <w:t>Our fees are charged on a time-spent basis at the following hourly rates (exclusive of VAT): James Osei £520; Elena Marchetti £360; Tom Gallagher £360. We estimate our fees for the matter through to completion at between £85,000 and £110,000 plus VAT and disbursements, on the assumption of a single counterparty and no more than three substantive rounds of negotiation on the licence. We will notify you promptly if it appears the estimate will be exceeded.</w:t>
      </w:r>
    </w:p>
    <w:p>
      <w:pPr>
        <w:pStyle w:val="Heading2"/>
      </w:pPr>
      <w:r>
        <w:t>Terms of business</w:t>
      </w:r>
    </w:p>
    <w:p>
      <w:pPr>
        <w:spacing w:after="200"/>
      </w:pPr>
      <w:r>
        <w:rPr>
          <w:b w:val="0"/>
          <w:i w:val="0"/>
          <w:sz w:val="22"/>
        </w:rPr>
        <w:t>This engagement is subject to our standard terms of business, a copy of which is enclosed. Please countersign and return the duplicate of this letter to confirm your acceptance.</w:t>
      </w:r>
    </w:p>
    <w:p>
      <w:pPr>
        <w:spacing w:after="200"/>
      </w:pPr>
      <w:r>
        <w:rPr>
          <w:b w:val="0"/>
          <w:i w:val="0"/>
          <w:sz w:val="22"/>
        </w:rPr>
        <w:t>Yours sincerely</w:t>
      </w:r>
    </w:p>
    <w:p>
      <w:pPr>
        <w:spacing w:after="0"/>
      </w:pPr>
      <w:r>
        <w:rPr>
          <w:b w:val="0"/>
          <w:i w:val="0"/>
          <w:sz w:val="22"/>
        </w:rPr>
        <w:t>James Osei</w:t>
      </w:r>
    </w:p>
    <w:p>
      <w:pPr>
        <w:spacing w:after="280"/>
      </w:pPr>
      <w:r>
        <w:rPr>
          <w:b w:val="0"/>
          <w:i w:val="0"/>
          <w:sz w:val="22"/>
        </w:rPr>
        <w:t>for and on behalf of Whitfield Carter LLP</w:t>
      </w:r>
    </w:p>
    <w:p>
      <w:pPr>
        <w:spacing w:after="200"/>
      </w:pPr>
      <w:r>
        <w:rPr>
          <w:b w:val="0"/>
          <w:i w:val="0"/>
          <w:sz w:val="22"/>
        </w:rPr>
        <w:t>I confirm acceptance of the terms set out above on behalf of Cobalt Photonics Limited:</w:t>
      </w:r>
    </w:p>
    <w:p>
      <w:pPr>
        <w:spacing w:after="40"/>
      </w:pPr>
      <w:r>
        <w:rPr>
          <w:b w:val="0"/>
          <w:i w:val="0"/>
          <w:sz w:val="22"/>
        </w:rPr>
        <w:t>Signed: ____________________   Name: Dr Eleanor Voss   Date: __________</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Whitfield Carter LLP is a limited liability partnership registered in England and Wales (OC382214). Confidential and may be legally privileged.</w:t>
    </w:r>
  </w:p>
  <w:p>
    <w:pPr>
      <w:jc w:val="center"/>
    </w:pPr>
    <w:r>
      <w:rPr>
        <w:sz w:val="16"/>
      </w:rPr>
      <w:fldSimple w:instr="PAGE"/>
    </w:r>
    <w:r>
      <w:rPr>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