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28"/>
        </w:rPr>
        <w:t>MUTUAL NON-DISCLOSURE AGREEMENT</w:t>
      </w:r>
    </w:p>
    <w:p>
      <w:pPr>
        <w:spacing w:after="240"/>
        <w:jc w:val="center"/>
      </w:pPr>
      <w:r>
        <w:rPr>
          <w:b w:val="0"/>
          <w:i/>
          <w:sz w:val="22"/>
        </w:rPr>
        <w:t>Project Indigo</w:t>
      </w:r>
    </w:p>
    <w:p>
      <w:pPr>
        <w:spacing w:after="200"/>
      </w:pPr>
      <w:r>
        <w:rPr>
          <w:b w:val="0"/>
          <w:i w:val="0"/>
          <w:sz w:val="22"/>
        </w:rPr>
        <w:t>THIS AGREEMENT is made on 24 September 2025</w:t>
      </w:r>
    </w:p>
    <w:p>
      <w:pPr>
        <w:spacing w:after="80"/>
      </w:pPr>
      <w:r>
        <w:rPr>
          <w:b/>
          <w:i w:val="0"/>
          <w:sz w:val="22"/>
        </w:rPr>
        <w:t>BETWEEN:</w:t>
      </w:r>
    </w:p>
    <w:p>
      <w:pPr>
        <w:spacing w:after="80"/>
      </w:pPr>
      <w:r>
        <w:rPr>
          <w:b w:val="0"/>
          <w:i w:val="0"/>
          <w:sz w:val="22"/>
        </w:rPr>
        <w:t>(1) COBALT PHOTONICS LIMITED, a company incorporated in England and Wales (registered number 11894522) whose registered office is at Unit 7, Granta Park, Great Abington, Cambridge CB21 6GP (“Cobalt”); and</w:t>
      </w:r>
    </w:p>
    <w:p>
      <w:pPr>
        <w:spacing w:after="120"/>
      </w:pPr>
      <w:r>
        <w:rPr>
          <w:b w:val="0"/>
          <w:i w:val="0"/>
          <w:sz w:val="22"/>
        </w:rPr>
        <w:t>(2) TESSANDRI INSTRUMENTS S.p.A., a company incorporated in Italy (registered number MI-2048817) whose registered office is at Via Camillo Olivetti 12, 20139 Milan, Italy (“Tessandri”),</w:t>
      </w:r>
    </w:p>
    <w:p>
      <w:pPr>
        <w:spacing w:after="200"/>
      </w:pPr>
      <w:r>
        <w:rPr>
          <w:b w:val="0"/>
          <w:i w:val="0"/>
          <w:sz w:val="22"/>
        </w:rPr>
        <w:t>each a “Party” and together the “Parties”.</w:t>
      </w:r>
    </w:p>
    <w:p>
      <w:pPr>
        <w:spacing w:after="80"/>
      </w:pPr>
      <w:r>
        <w:rPr>
          <w:b/>
          <w:i w:val="0"/>
          <w:sz w:val="22"/>
        </w:rPr>
        <w:t>BACKGROUND</w:t>
      </w:r>
    </w:p>
    <w:p>
      <w:pPr>
        <w:spacing w:after="80"/>
      </w:pPr>
      <w:r>
        <w:rPr>
          <w:b w:val="0"/>
          <w:i w:val="0"/>
          <w:sz w:val="22"/>
        </w:rPr>
        <w:t>(A) The Parties wish to explore a potential licensing arrangement under which Cobalt would grant to Tessandri a licence of certain patents and know-how relating to Cobalt’s frequency-modulated continuous-wave (FMCW) coherent-detection LiDAR technology (the “Purpose”).</w:t>
      </w:r>
    </w:p>
    <w:p>
      <w:pPr>
        <w:spacing w:after="160"/>
      </w:pPr>
      <w:r>
        <w:rPr>
          <w:b w:val="0"/>
          <w:i w:val="0"/>
          <w:sz w:val="22"/>
        </w:rPr>
        <w:t>(B) In connection with the Purpose each Party may disclose Confidential Information to the other, and the Parties wish to record the terms on which such information is disclosed and protected.</w:t>
      </w:r>
    </w:p>
    <w:p>
      <w:pPr>
        <w:spacing w:after="160"/>
      </w:pPr>
      <w:r>
        <w:rPr>
          <w:b/>
          <w:i w:val="0"/>
          <w:sz w:val="22"/>
        </w:rPr>
        <w:t>IT IS AGREED as follows:</w:t>
      </w:r>
    </w:p>
    <w:p>
      <w:pPr>
        <w:spacing w:after="120"/>
        <w:ind w:left="567" w:hanging="567"/>
      </w:pPr>
      <w:r>
        <w:rPr>
          <w:b w:val="0"/>
        </w:rPr>
        <w:t>1.</w:t>
        <w:tab/>
      </w:r>
      <w:r>
        <w:rPr>
          <w:b/>
        </w:rPr>
        <w:t xml:space="preserve">Definitions </w:t>
      </w:r>
      <w:r>
        <w:t>In this Agreement, “Confidential Information” means all information (whether oral, written, electronic or in any other form) disclosed by or on behalf of one Party (the “Discloser”) to the other (the “Recipient”) which is marked as confidential or which by its nature ought reasonably to be regarded as confidential, including the existence and subject-matter of the discussions between the Parties, the Helios patent family, technical, commercial, financial and product information, designs, source code, test data and trade secrets.</w:t>
      </w:r>
    </w:p>
    <w:p>
      <w:pPr>
        <w:spacing w:after="120"/>
        <w:ind w:left="567" w:hanging="567"/>
      </w:pPr>
      <w:r>
        <w:rPr>
          <w:b w:val="0"/>
        </w:rPr>
        <w:t>2.</w:t>
        <w:tab/>
      </w:r>
      <w:r>
        <w:rPr>
          <w:b/>
        </w:rPr>
        <w:t xml:space="preserve">Use of Confidential Information </w:t>
      </w:r>
      <w:r>
        <w:t>The Recipient shall use the Confidential Information solely for the Purpose and shall not use it for any other purpose or for the benefit of any third party. The Recipient shall keep the Confidential Information secret and confidential and shall not disclose it to any person except to those of its officers, employees and professional advisers who need to know it for the Purpose and who are bound by obligations of confidentiality no less onerous than those in this Agreement.</w:t>
      </w:r>
    </w:p>
    <w:p>
      <w:pPr>
        <w:spacing w:after="120"/>
        <w:ind w:left="567" w:hanging="567"/>
      </w:pPr>
      <w:r>
        <w:rPr>
          <w:b w:val="0"/>
        </w:rPr>
        <w:t>3.</w:t>
        <w:tab/>
      </w:r>
      <w:r>
        <w:rPr>
          <w:b/>
        </w:rPr>
        <w:t xml:space="preserve">Exceptions </w:t>
      </w:r>
      <w:r>
        <w:t>The obligations in clause 2 do not apply to information which: (a) is or becomes publicly available other than through breach of this Agreement; (b) was lawfully in the Recipient’s possession before disclosure; (c) is lawfully received from a third party free of any obligation of confidence; or (d) is independently developed by the Recipient without use of the Confidential Information.</w:t>
      </w:r>
    </w:p>
    <w:p>
      <w:pPr>
        <w:spacing w:after="120"/>
        <w:ind w:left="567" w:hanging="567"/>
      </w:pPr>
      <w:r>
        <w:rPr>
          <w:b w:val="0"/>
        </w:rPr>
        <w:t>4.</w:t>
        <w:tab/>
      </w:r>
      <w:r>
        <w:rPr>
          <w:b/>
        </w:rPr>
        <w:t xml:space="preserve">Compelled disclosure </w:t>
      </w:r>
      <w:r>
        <w:t>If the Recipient is required by law, regulation or any governmental or regulatory authority to disclose any Confidential Information, it shall (to the extent permitted) give the Discloser prompt written notice and reasonable assistance to enable the Discloser to seek a protective order or other appropriate remedy.</w:t>
      </w:r>
    </w:p>
    <w:p>
      <w:pPr>
        <w:spacing w:after="120"/>
        <w:ind w:left="567" w:hanging="567"/>
      </w:pPr>
      <w:r>
        <w:rPr>
          <w:b w:val="0"/>
        </w:rPr>
        <w:t>5.</w:t>
        <w:tab/>
      </w:r>
      <w:r>
        <w:rPr>
          <w:b/>
        </w:rPr>
        <w:t xml:space="preserve">No licence </w:t>
      </w:r>
      <w:r>
        <w:t>Nothing in this Agreement grants the Recipient any right, title, interest or licence in or to any Confidential Information or any intellectual property rights of the Discloser, save the limited right to use the same for the Purpose. All Confidential Information remains the property of the Discloser.</w:t>
      </w:r>
    </w:p>
    <w:p>
      <w:pPr>
        <w:spacing w:after="120"/>
        <w:ind w:left="567" w:hanging="567"/>
      </w:pPr>
      <w:r>
        <w:rPr>
          <w:b w:val="0"/>
        </w:rPr>
        <w:t>6.</w:t>
        <w:tab/>
      </w:r>
      <w:r>
        <w:rPr>
          <w:b/>
        </w:rPr>
        <w:t xml:space="preserve">Return or destruction </w:t>
      </w:r>
      <w:r>
        <w:t>On the written request of the Discloser, the Recipient shall promptly return or destroy (at the Discloser’s option) all Confidential Information and any copies, save that the Recipient may retain one copy to the extent required by law or its bona fide internal record-keeping policies.</w:t>
      </w:r>
    </w:p>
    <w:p>
      <w:pPr>
        <w:spacing w:after="120"/>
        <w:ind w:left="567" w:hanging="567"/>
      </w:pPr>
      <w:r>
        <w:rPr>
          <w:b w:val="0"/>
        </w:rPr>
        <w:t>7.</w:t>
        <w:tab/>
      </w:r>
      <w:r>
        <w:rPr>
          <w:b/>
        </w:rPr>
        <w:t xml:space="preserve">Term </w:t>
      </w:r>
      <w:r>
        <w:t>This Agreement shall continue in force for a period of three (3) years from the date of this Agreement, and the confidentiality obligations shall survive for five (5) years from the date of disclosure.</w:t>
      </w:r>
    </w:p>
    <w:p>
      <w:pPr>
        <w:spacing w:after="120"/>
        <w:ind w:left="567" w:hanging="567"/>
      </w:pPr>
      <w:r>
        <w:rPr>
          <w:b w:val="0"/>
        </w:rPr>
        <w:t>8.</w:t>
        <w:tab/>
      </w:r>
      <w:r>
        <w:rPr>
          <w:b/>
        </w:rPr>
        <w:t xml:space="preserve">No obligation to proceed </w:t>
      </w:r>
      <w:r>
        <w:t>Nothing in this Agreement obliges either Party to proceed with the Purpose or any transaction, and each Party may terminate discussions at any time without liability.</w:t>
      </w:r>
    </w:p>
    <w:p>
      <w:pPr>
        <w:spacing w:after="120"/>
        <w:ind w:left="567" w:hanging="567"/>
      </w:pPr>
      <w:r>
        <w:rPr>
          <w:b w:val="0"/>
        </w:rPr>
        <w:t>9.</w:t>
        <w:tab/>
      </w:r>
      <w:r>
        <w:rPr>
          <w:b/>
        </w:rPr>
        <w:t xml:space="preserve">Remedies </w:t>
      </w:r>
      <w:r>
        <w:t>The Parties acknowledge that damages alone may be an inadequate remedy for breach of this Agreement and that the Discloser shall be entitled to seek injunctive or other equitable relief.</w:t>
      </w:r>
    </w:p>
    <w:p>
      <w:pPr>
        <w:spacing w:after="120"/>
        <w:ind w:left="567" w:hanging="567"/>
      </w:pPr>
      <w:r>
        <w:rPr>
          <w:b w:val="0"/>
        </w:rPr>
        <w:t>10.</w:t>
        <w:tab/>
      </w:r>
      <w:r>
        <w:rPr>
          <w:b/>
        </w:rPr>
        <w:t xml:space="preserve">Governing law and jurisdiction </w:t>
      </w:r>
      <w:r>
        <w:t>This Agreement and any dispute arising out of or in connection with it shall be governed by and construed in accordance with the laws of England and Wales, and the Parties submit to the exclusive jurisdiction of the courts of England and Wales.</w:t>
      </w:r>
    </w:p>
    <w:p>
      <w:pPr>
        <w:spacing w:after="240"/>
      </w:pPr>
      <w:r>
        <w:rPr>
          <w:b w:val="0"/>
          <w:i w:val="0"/>
          <w:sz w:val="22"/>
        </w:rPr>
      </w:r>
    </w:p>
    <w:p>
      <w:pPr>
        <w:spacing w:after="280"/>
      </w:pPr>
      <w:r>
        <w:rPr>
          <w:b w:val="0"/>
          <w:i w:val="0"/>
          <w:sz w:val="22"/>
        </w:rPr>
        <w:t>AGREED by the Parties through their authorised signatories.</w:t>
      </w:r>
    </w:p>
    <w:p>
      <w:pPr>
        <w:spacing w:after="40"/>
      </w:pPr>
      <w:r>
        <w:rPr>
          <w:b w:val="0"/>
          <w:i w:val="0"/>
          <w:sz w:val="22"/>
        </w:rPr>
        <w:t>SIGNED for and on behalf of COBALT PHOTONICS LIMITED</w:t>
      </w:r>
    </w:p>
    <w:p>
      <w:pPr>
        <w:spacing w:after="240"/>
      </w:pPr>
      <w:r>
        <w:rPr>
          <w:b w:val="0"/>
          <w:i w:val="0"/>
          <w:sz w:val="22"/>
        </w:rPr>
        <w:t>Name: Dr Eleanor Voss        Title: Chief Executive Officer        Signature: ____________________</w:t>
      </w:r>
    </w:p>
    <w:p>
      <w:pPr>
        <w:spacing w:after="40"/>
      </w:pPr>
      <w:r>
        <w:rPr>
          <w:b w:val="0"/>
          <w:i w:val="0"/>
          <w:sz w:val="22"/>
        </w:rPr>
        <w:t>SIGNED for and on behalf of TESSANDRI INSTRUMENTS S.p.A.</w:t>
      </w:r>
    </w:p>
    <w:p>
      <w:pPr>
        <w:spacing w:after="40"/>
      </w:pPr>
      <w:r>
        <w:rPr>
          <w:b w:val="0"/>
          <w:i w:val="0"/>
          <w:sz w:val="22"/>
        </w:rPr>
        <w:t>Name: Marco Tessandri        Title: Amministratore Delegato        Signature: ____________________</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4"/>
      </w:rPr>
      <w:t>Whitfield Carter LLP is a limited liability partnership registered in England and Wales (OC382214). Confidential and may be legally privileged.</w:t>
    </w:r>
  </w:p>
  <w:p>
    <w:pPr>
      <w:jc w:val="center"/>
    </w:pPr>
    <w:r>
      <w:rPr>
        <w:sz w:val="16"/>
      </w:rPr>
      <w:fldSimple w:instr="PAGE"/>
    </w:r>
    <w:r>
      <w:rPr>
        <w:sz w:val="16"/>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