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PROJECT INDIGO</w:t>
      </w:r>
    </w:p>
    <w:p>
      <w:pPr>
        <w:spacing w:after="40"/>
        <w:jc w:val="center"/>
      </w:pPr>
      <w:r>
        <w:rPr>
          <w:b/>
          <w:i w:val="0"/>
          <w:sz w:val="24"/>
        </w:rPr>
        <w:t>NON-BINDING TERM SHEET</w:t>
      </w:r>
    </w:p>
    <w:p>
      <w:pPr>
        <w:spacing w:after="40"/>
        <w:jc w:val="center"/>
      </w:pPr>
      <w:r>
        <w:rPr>
          <w:b w:val="0"/>
          <w:i/>
          <w:sz w:val="22"/>
        </w:rPr>
        <w:t>Patent &amp; Know-How Licence — Helios FMCW LiDAR Technology</w:t>
      </w:r>
    </w:p>
    <w:p>
      <w:pPr>
        <w:spacing w:after="240"/>
        <w:jc w:val="center"/>
      </w:pPr>
      <w:r>
        <w:rPr>
          <w:b w:val="0"/>
          <w:i w:val="0"/>
          <w:sz w:val="22"/>
        </w:rPr>
        <w:t>Dated 17 October 2025</w:t>
      </w:r>
    </w:p>
    <w:p>
      <w:pPr>
        <w:spacing w:after="200"/>
      </w:pPr>
      <w:r>
        <w:rPr>
          <w:b w:val="0"/>
          <w:i w:val="0"/>
          <w:sz w:val="22"/>
        </w:rPr>
        <w:t>This term sheet summarises the principal terms on which Cobalt Photonics Limited (“Licensor”) and Tessandri Instruments S.p.A. (“Licensee”) propose to enter into a patent and know-how licence. Save for the paragraphs headed Exclusivity, Costs, Confidentiality and Governing Law, this term sheet is not legally binding and is subject to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Licensor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Cobalt Photonics Limited (company no. 11894522), Cambridge, UK.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Licensee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Tessandri Instruments S.p.A. (company no. MI-2048817), Milan, Italy.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Licensed IP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The “Helios” patent family (7 granted patents and 4 pending applications across EP, US, CN and JP relating to FMCW coherent-detection LiDAR and on-chip optical beam-steering) together with the associated manufacturing and calibration know-how.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Field of Use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Industrial automation, robotics and autonomous materials-handling applications. The automotive ADAS field is expressly excluded and reserved to the Licensor.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Territory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The member states of the European Economic Area, the United Kingdom and Switzerland.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Exclusivity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Exclusive within the Field of Use and Territory, subject to the Licensor’s reserved rights and a minimum-royalty exclusivity condition (see Minimum Royalty).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Upfront Fee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£4,500,000, payable: £2,000,000 on the Effective Date and £2,500,000 on the first anniversary of the Effective Date.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Running Royalty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6.0% of Net Sales of Licensed Products (under discussion).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Minimum Annual Royalty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£750,000 per annum from the second Contract Year; failure to meet the minimum converts the licence to non-exclusive at the Licensor’s option.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Technology Transfer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A 9-month transfer programme: documentation, two on-site engineer secondments and a wafer-level calibration toolkit. Transfer support fee of £350,000.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Twelve (12) years from the Effective Date, extendable by agreement, subject to earlier termination rights.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Improvements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Licensee improvements grant-back to Licensor on a non-exclusive, royalty-free basis within the Field of Use.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Liability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Each Party’s aggregate liability to be capped; cap quantum to be agreed (Licensor proposes 100% of fees paid in the preceding 12 months).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Costs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Each Party bears its own costs. Binding.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Governing Law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English law; exclusive jurisdiction of the courts of England and Wales. Binding.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Exclusivity Period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The Parties will negotiate exclusively until 31 January 2026.</w:t>
            </w:r>
          </w:p>
        </w:tc>
      </w:tr>
    </w:tbl>
    <w:p>
      <w:pPr>
        <w:spacing w:after="200"/>
      </w:pPr>
      <w:r>
        <w:rPr>
          <w:b w:val="0"/>
          <w:i w:val="0"/>
          <w:sz w:val="22"/>
        </w:rPr>
      </w:r>
    </w:p>
    <w:p>
      <w:pPr>
        <w:spacing w:after="160"/>
      </w:pPr>
      <w:r>
        <w:rPr>
          <w:b w:val="0"/>
          <w:i w:val="0"/>
          <w:sz w:val="22"/>
        </w:rPr>
        <w:t>For and on behalf of Cobalt Photonics Limited: ____________________  Date: __________</w:t>
      </w:r>
    </w:p>
    <w:p>
      <w:pPr>
        <w:spacing w:after="40"/>
      </w:pPr>
      <w:r>
        <w:rPr>
          <w:b w:val="0"/>
          <w:i w:val="0"/>
          <w:sz w:val="22"/>
        </w:rPr>
        <w:t>For and on behalf of Tessandri Instruments S.p.A.: ____________________  Date: __________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>Whitfield Carter LLP is a limited liability partnership registered in England and Wales (OC382214). Confidential and may be legally privileged.</w:t>
    </w:r>
  </w:p>
  <w:p>
    <w:pPr>
      <w:jc w:val="center"/>
    </w:pPr>
    <w:r>
      <w:rPr>
        <w:sz w:val="16"/>
      </w:rPr>
      <w:fldSimple w:instr="PAGE"/>
    </w:r>
    <w:r>
      <w:rPr>
        <w:sz w:val="16"/>
      </w:rPr>
      <w:t xml:space="preserve">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