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1"/>
          <w:szCs w:val="21"/>
        </w:rPr>
        <w:t xml:space="preserve">PRIVATE &amp; CONFIDENTIAL   –   SUBJECT TO CONTRACT</w:t>
      </w:r>
    </w:p>
    <w:p>
      <w:pPr>
        <w:spacing w:after="60"/>
        <w:jc w:val="center"/>
      </w:pPr>
      <w:r>
        <w:rPr>
          <w:rFonts w:ascii="Calibri" w:cs="Calibri" w:eastAsia="Calibri" w:hAnsi="Calibri"/>
          <w:b/>
          <w:bCs/>
          <w:sz w:val="28"/>
          <w:szCs w:val="28"/>
        </w:rPr>
        <w:t xml:space="preserve">TERM SHEET</w:t>
      </w:r>
    </w:p>
    <w:p>
      <w:pPr>
        <w:spacing w:after="60"/>
        <w:jc w:val="center"/>
      </w:pPr>
      <w:r>
        <w:rPr>
          <w:rFonts w:ascii="Calibri" w:cs="Calibri" w:eastAsia="Calibri" w:hAnsi="Calibri"/>
          <w:b/>
          <w:bCs/>
          <w:sz w:val="21"/>
          <w:szCs w:val="21"/>
        </w:rPr>
        <w:t xml:space="preserve">PROPOSED SERIES A PREFERENCE SHARE INVESTMENT IN FAIRCHAIN TECHNOLOGIES LTD</w:t>
      </w:r>
    </w:p>
    <w:p>
      <w:pPr>
        <w:spacing w:after="220"/>
        <w:jc w:val="center"/>
      </w:pPr>
      <w:r>
        <w:rPr>
          <w:rFonts w:ascii="Calibri" w:cs="Calibri" w:eastAsia="Calibri" w:hAnsi="Calibri"/>
          <w:i/>
          <w:iCs/>
          <w:sz w:val="21"/>
          <w:szCs w:val="21"/>
        </w:rPr>
        <w:t xml:space="preserve">Dated 18 July 2024</w:t>
      </w:r>
    </w:p>
    <w:p>
      <w:pPr>
        <w:spacing w:after="120" w:line="264"/>
        <w:jc w:val="both"/>
      </w:pPr>
      <w:r>
        <w:rPr>
          <w:rFonts w:ascii="Calibri" w:cs="Calibri" w:eastAsia="Calibri" w:hAnsi="Calibri"/>
          <w:sz w:val="21"/>
          <w:szCs w:val="21"/>
        </w:rPr>
        <w:t xml:space="preserve">This term sheet (the “Term Sheet”) summarises the principal terms on which Crestview Capital Partners LLP proposes to make an equity investment in FairChain Technologies Ltd. It is intended to assist the parties and their advisers in preparing the definitive documentation for the proposed investment. Save for the paragraphs set out under the heading “Binding Provisions” below (which are intended to be, and are, legally binding), this Term Sheet is a summary of intent only, is subject to contract, and does not create any legally binding obligation on any party to proceed with or complete the proposed investment. Capitalised terms used but not otherwise defined in this Term Sheet will have the meanings to be given to them in the Definitive Documents.</w:t>
      </w:r>
    </w:p>
    <w:p>
      <w:pPr>
        <w:spacing w:after="140" w:before="220"/>
        <w:jc w:val="left"/>
      </w:pPr>
      <w:r>
        <w:rPr>
          <w:rFonts w:ascii="Calibri" w:cs="Calibri" w:eastAsia="Calibri" w:hAnsi="Calibri"/>
          <w:b/>
          <w:bCs/>
          <w:sz w:val="21"/>
          <w:szCs w:val="21"/>
        </w:rPr>
        <w:t xml:space="preserve">PRINCIPAL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0"/>
        <w:gridCol w:w="6666"/>
      </w:tblGrid>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Company</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FairChain Technologies Ltd, a private company limited by shares incorporated in England and Wales with registered number 13502846 and registered office at Second Floor, The Tea Building, 56 Shoreditch High Street, London E1 6JJ (the “Company”).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Founder</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Sophie Reinhardt, the founder and Chief Executive Officer of the Company (the “Founder”).</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Lead Investor</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Crestview Capital Partners LLP (the “Investor” or “Crestview”). The Investor will lead, and will be the sole subscriber in, the Series A Round.</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Transaction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Subscription by the Investor for newly issued Series A Preference Shares in the Company (the “Series A Round” or the “Proposed Transaction”).</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Investment Amount</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£4,000,000 in cash, payable in full at Completion.</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Pre-Money Valuation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£14,000,000, calculated on a fully-diluted basis and inclusive of the Enlarged Option Pool referred to below.</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Post-Money Valuation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£18,000,000.</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Securities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Series A Preference Shares of £0.0001 each in the capital of the Company (the “Series A Shares”), having the rights summarised in this Term Sheet and to be set out in full in the New Articles.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Issue Price</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£2.00 per Series A Share (the “Issue Price”), comprising £0.0001 of nominal value and £1.9999 of share premium.</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Number of Shares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2,000,000 Series A Shares to be issued at Completion.</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Resulting Shareholding</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Immediately following Completion the Investor will hold approximately 22.2% of the fully-diluted share capital of the Company.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Enlarged Option Pool</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Prior to Completion the Company’s employee share option pool will be increased so that options available for grant represent 12% of the fully-diluted share capital of the Company immediately following Completion (the “Enlarged Option Pool”). The increase will be effected on a pre-money basis and will accordingly dilute the existing shareholders (including the Founder) but not the Investor.</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Use of Proceeds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proceeds of the Series A Round will be applied towards expansion of the Company’s engineering and product team, customer acquisition and go-to-market activities, and general working capital, in each case in accordance with the budget approved by the Board.</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Liquidation Preference</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On a Liquidation Event, each holder of Series A Shares will be entitled to receive, in priority to the holders of ordinary shares, the greater of (a) an amount equal to one times (1x) the Issue Price for each Series A Share held (plus any declared but unpaid dividends), and (b) the amount it would have received in respect of those shares had they converted into ordinary shares immediately before the Liquidation Event. The Series A Shares are non-participating. “Liquidation Event” includes a return of capital on a winding-up, a Share Sale and an Asset Sale.</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Conversion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Each Series A Share is convertible into ordinary shares at the option of the holder at any time, initially on a one-for-one basis (subject to adjustment for anti-dilution and customary corporate events). All Series A Shares convert automatically into ordinary shares on a Qualifying IPO or on written notice from holders of a majority of the Series A Shares (a “Series A Majority”).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Anti-Dilution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If the Company issues new shares at a price per share lower than the Issue Price (a “Down Round”), the conversion rate of the Series A Shares will be adjusted on a broad-based weighted average basis. Customary exceptions apply, including issues of options and shares under the Enlarged Option Pool, shares issued on conversion of the Series A Shares, and other issues approved by a Series A Majority.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Dividends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Series A Shares carry no fixed or cumulative dividend. Any dividend declared by the Company will be paid to the holders of Series A Shares and ordinary shares pari passu on an as-converted basis.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Voting Rights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Series A Shares carry the right to vote at general meetings, voting together with the ordinary shares as a single class on an as-converted basis, in addition to the class consent rights and Reserved Matter protections referred to below.</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Board of Directors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Following Completion the Board will comprise no more than four directors: (a) one director appointed by the Founder (the “Founder Director”); (b) one director appointed and removable by the Investor (the “Investor Director”); and (c) up to two further directors (which may include an independent director) appointed in accordance with the New Articles. The Investor Director will initially be Daniel Reeve. The Investor will also be entitled to appoint one non-voting board observer.</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Reserved Matters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Certain matters will require the prior written consent of the Investor (or of the Investor Director), including: any change to the Company’s share capital or to the rights attaching to any class of shares; any amendment to the Company’s articles of association; the creation of any borrowing or security above an agreed threshold; any sale, listing or winding-up of the Company; the approval or material amendment of the annual budget; any material related-party transaction; and the appointment, removal or material change to the terms of any senior employee. The full list of Reserved Matters will be set out in the Subscription and Shareholders’ Agreement.</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Information Rights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Company will provide the Investor with: (a) monthly management accounts within 21 days of each month-end; (b) a quarterly board pack; (c) annual accounts within six months of each financial year-end; and (d) an annual budget at least 30 days before the start of each financial year. The Investor will also have reasonable rights of inspection on prior written notice.</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Pre-emption Rights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Investor will have a pro rata right to subscribe for new shares proposed to be issued by the Company (other than under customary excluded issues) so as to enable it to maintain its percentage shareholding.</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Transfer Restrictions; ROFR</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Transfers of shares by the Founder will be subject to a right of first refusal in favour of the Company and then the Investor, and to a co-sale (tag-along) right entitling the Investor to participate, pro rata, in any permitted transfer by the Founder. These provisions will be set out in the New Articles and the Subscription and Shareholders’ Agreement.</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Drag-Along</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If holders of 75% or more of the Company’s shares (voting together as a single class on an as-converted basis) approve a bona fide arm’s-length sale of the Company, all remaining shareholders will be required to sell their shares on the same terms.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Founder Commitments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Founder will (a) enter into, or confirm, a service agreement with the Company; (b) give non-competition and non-solicitation undertakings in the Subscription and Shareholders’ Agreement; and (c) be subject to customary good leaver / bad leaver and reverse-vesting provisions in respect of a proportion of her shares.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Warranties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Company and the Founder will give customary business, financial, tax and intellectual property warranties in the Subscription and Shareholders’ Agreement, subject to disclosure against an agreed disclosure letter and to limitations on liability (including a cap and time limits) to be agreed in the Definitive Documents.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Conditions to Completion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Completion is conditional on, among other things: satisfactory completion of legal, financial, technical and commercial due diligence; negotiation and execution of the Definitive Documents; adoption of the New Articles; implementation of the Enlarged Option Pool; receipt of all necessary board and shareholder approvals; and there being no material adverse change in the business, assets or prospects of the Company.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Definitive Documents</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Proposed Transaction will be documented by, among other things, a subscription and shareholders’ agreement (the “Subscription and Shareholders’ Agreement” or “SPA”), amended and restated articles of association (the “New Articles”), an investor rights agreement, a disclosure letter and ancillary completion documents (together the “Definitive Documents”).</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Legal Counsel</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Legal counsel to the Investor is Whitfield Carter LLP (lead associate: James Osei; supervising partner: Sarah Whitfield). Legal counsel to the Company and the Founder is Denham Lewis LLP (lead partner: Adam Selby).</w:t>
            </w:r>
          </w:p>
        </w:tc>
      </w:tr>
      <w:tr>
        <w:tc>
          <w:tcPr>
            <w:tcW w:type="dxa" w:w="2360"/>
            <w:tcBorders>
              <w:top w:val="single" w:color="B8B8B8" w:sz="2"/>
              <w:left w:val="single" w:color="B8B8B8" w:sz="2"/>
              <w:bottom w:val="single" w:color="B8B8B8" w:sz="2"/>
              <w:right w:val="single" w:color="B8B8B8" w:sz="2"/>
            </w:tcBorders>
            <w:shd w:fill="EEF2F6" w:val="clear"/>
            <w:tcMar>
              <w:top w:type="dxa" w:w="80"/>
              <w:left w:type="dxa" w:w="120"/>
              <w:bottom w:type="dxa" w:w="80"/>
              <w:right w:type="dxa" w:w="120"/>
            </w:tcMar>
            <w:vAlign w:val="top"/>
          </w:tcPr>
          <w:p>
            <w:pPr>
              <w:spacing w:after="0"/>
            </w:pPr>
            <w:r>
              <w:rPr>
                <w:rFonts w:ascii="Calibri" w:cs="Calibri" w:eastAsia="Calibri" w:hAnsi="Calibri"/>
                <w:b/>
                <w:bCs/>
                <w:sz w:val="21"/>
                <w:szCs w:val="21"/>
              </w:rPr>
              <w:t xml:space="preserve">Target Completion</w:t>
            </w:r>
          </w:p>
        </w:tc>
        <w:tc>
          <w:tcPr>
            <w:tcW w:type="dxa" w:w="6666"/>
            <w:tcBorders>
              <w:top w:val="single" w:color="B8B8B8" w:sz="2"/>
              <w:left w:val="single" w:color="B8B8B8" w:sz="2"/>
              <w:bottom w:val="single" w:color="B8B8B8" w:sz="2"/>
              <w:right w:val="single" w:color="B8B8B8" w:sz="2"/>
            </w:tcBorders>
            <w:tcMar>
              <w:top w:type="dxa" w:w="80"/>
              <w:left w:type="dxa" w:w="120"/>
              <w:bottom w:type="dxa" w:w="80"/>
              <w:right w:type="dxa" w:w="120"/>
            </w:tcMar>
          </w:tcPr>
          <w:p>
            <w:pPr>
              <w:spacing w:after="0" w:line="264"/>
              <w:jc w:val="both"/>
            </w:pPr>
            <w:r>
              <w:rPr>
                <w:rFonts w:ascii="Calibri" w:cs="Calibri" w:eastAsia="Calibri" w:hAnsi="Calibri"/>
                <w:sz w:val="21"/>
                <w:szCs w:val="21"/>
              </w:rPr>
              <w:t xml:space="preserve">The parties will use reasonable endeavours to achieve Completion on or before 30 September 2024.</w:t>
            </w:r>
          </w:p>
        </w:tc>
      </w:tr>
    </w:tbl>
    <w:p>
      <w:pPr>
        <w:spacing w:after="140" w:before="220"/>
        <w:jc w:val="left"/>
      </w:pPr>
      <w:r>
        <w:rPr>
          <w:rFonts w:ascii="Calibri" w:cs="Calibri" w:eastAsia="Calibri" w:hAnsi="Calibri"/>
          <w:b/>
          <w:bCs/>
          <w:sz w:val="21"/>
          <w:szCs w:val="21"/>
        </w:rPr>
        <w:t xml:space="preserve">BINDING PROVISIONS</w:t>
      </w:r>
    </w:p>
    <w:p>
      <w:pPr>
        <w:spacing w:after="120" w:line="264"/>
        <w:jc w:val="both"/>
      </w:pPr>
      <w:r>
        <w:rPr>
          <w:rFonts w:ascii="Calibri" w:cs="Calibri" w:eastAsia="Calibri" w:hAnsi="Calibri"/>
          <w:sz w:val="21"/>
          <w:szCs w:val="21"/>
        </w:rPr>
        <w:t xml:space="preserve">The following paragraphs 1 to 6 are intended to be, and are, legally binding on the parties.</w:t>
      </w:r>
    </w:p>
    <w:p>
      <w:pPr>
        <w:tabs>
          <w:tab w:val="left" w:pos="567"/>
        </w:tabs>
        <w:spacing w:after="120" w:line="264"/>
        <w:ind w:left="567" w:hanging="567"/>
        <w:jc w:val="both"/>
      </w:pPr>
      <w:r>
        <w:rPr>
          <w:rFonts w:ascii="Calibri" w:cs="Calibri" w:eastAsia="Calibri" w:hAnsi="Calibri"/>
          <w:b/>
          <w:bCs/>
          <w:sz w:val="21"/>
          <w:szCs w:val="21"/>
        </w:rPr>
        <w:t xml:space="preserve">1	</w:t>
      </w:r>
      <w:r>
        <w:rPr>
          <w:rFonts w:ascii="Calibri" w:cs="Calibri" w:eastAsia="Calibri" w:hAnsi="Calibri"/>
          <w:b/>
          <w:bCs/>
          <w:sz w:val="21"/>
          <w:szCs w:val="21"/>
        </w:rPr>
        <w:t xml:space="preserve">Confidentiality.  </w:t>
      </w:r>
      <w:r>
        <w:rPr>
          <w:rFonts w:ascii="Calibri" w:cs="Calibri" w:eastAsia="Calibri" w:hAnsi="Calibri"/>
          <w:sz w:val="21"/>
          <w:szCs w:val="21"/>
        </w:rPr>
        <w:t xml:space="preserve">The existence and terms of this Term Sheet, and the fact that discussions are taking place between the parties, are confidential and may not be disclosed by any party to any third party (other than to its directors, officers, employees, professional advisers and, in the case of the Investor, its limited partners and prospective co-investors, in each case on a need-to-know basis and subject to obligations of confidentiality) without the prior written consent of the other parties, except as required by law or by any regulatory authority. This paragraph survives any termination or lapse of this Term Sheet.</w:t>
      </w:r>
    </w:p>
    <w:p>
      <w:pPr>
        <w:tabs>
          <w:tab w:val="left" w:pos="567"/>
        </w:tabs>
        <w:spacing w:after="120" w:line="264"/>
        <w:ind w:left="567" w:hanging="567"/>
        <w:jc w:val="both"/>
      </w:pPr>
      <w:r>
        <w:rPr>
          <w:rFonts w:ascii="Calibri" w:cs="Calibri" w:eastAsia="Calibri" w:hAnsi="Calibri"/>
          <w:b/>
          <w:bCs/>
          <w:sz w:val="21"/>
          <w:szCs w:val="21"/>
        </w:rPr>
        <w:t xml:space="preserve">2	</w:t>
      </w:r>
      <w:r>
        <w:rPr>
          <w:rFonts w:ascii="Calibri" w:cs="Calibri" w:eastAsia="Calibri" w:hAnsi="Calibri"/>
          <w:b/>
          <w:bCs/>
          <w:sz w:val="21"/>
          <w:szCs w:val="21"/>
        </w:rPr>
        <w:t xml:space="preserve">Exclusivity.  </w:t>
      </w:r>
      <w:r>
        <w:rPr>
          <w:rFonts w:ascii="Calibri" w:cs="Calibri" w:eastAsia="Calibri" w:hAnsi="Calibri"/>
          <w:sz w:val="21"/>
          <w:szCs w:val="21"/>
        </w:rPr>
        <w:t xml:space="preserve">In consideration of the Investor incurring costs in connection with the Proposed Transaction, the Company and the Founder undertake that, for the period of 45 days from the date of this Term Sheet (the “Exclusivity Period”), they will not, and will procure that the Company’s directors, officers, employees, agents and advisers will not, directly or indirectly: (a) solicit, initiate, encourage or enter into any discussions or negotiations with any person other than the Investor in relation to any investment in, or any sale, disposal or transfer of any shares or material assets of, the Company; (b) provide any information to any such person for those purposes; or (c) enter into any agreement or arrangement with any such person in relation to any such transaction. The Company will notify the Investor promptly if it receives any approach of that kind during the Exclusivity Period.</w:t>
      </w:r>
    </w:p>
    <w:p>
      <w:pPr>
        <w:tabs>
          <w:tab w:val="left" w:pos="567"/>
        </w:tabs>
        <w:spacing w:after="120" w:line="264"/>
        <w:ind w:left="567" w:hanging="567"/>
        <w:jc w:val="both"/>
      </w:pPr>
      <w:r>
        <w:rPr>
          <w:rFonts w:ascii="Calibri" w:cs="Calibri" w:eastAsia="Calibri" w:hAnsi="Calibri"/>
          <w:b/>
          <w:bCs/>
          <w:sz w:val="21"/>
          <w:szCs w:val="21"/>
        </w:rPr>
        <w:t xml:space="preserve">3	</w:t>
      </w:r>
      <w:r>
        <w:rPr>
          <w:rFonts w:ascii="Calibri" w:cs="Calibri" w:eastAsia="Calibri" w:hAnsi="Calibri"/>
          <w:b/>
          <w:bCs/>
          <w:sz w:val="21"/>
          <w:szCs w:val="21"/>
        </w:rPr>
        <w:t xml:space="preserve">Costs.  </w:t>
      </w:r>
      <w:r>
        <w:rPr>
          <w:rFonts w:ascii="Calibri" w:cs="Calibri" w:eastAsia="Calibri" w:hAnsi="Calibri"/>
          <w:sz w:val="21"/>
          <w:szCs w:val="21"/>
        </w:rPr>
        <w:t xml:space="preserve">Each party will bear its own costs and expenses in connection with the Proposed Transaction, save that, if the Proposed Transaction completes, the Company will pay the reasonable and properly incurred legal fees and disbursements of the Investor in connection with the Proposed Transaction, up to a maximum of £30,000 (plus VAT).</w:t>
      </w:r>
    </w:p>
    <w:p>
      <w:pPr>
        <w:tabs>
          <w:tab w:val="left" w:pos="567"/>
        </w:tabs>
        <w:spacing w:after="120" w:line="264"/>
        <w:ind w:left="567" w:hanging="567"/>
        <w:jc w:val="both"/>
      </w:pPr>
      <w:r>
        <w:rPr>
          <w:rFonts w:ascii="Calibri" w:cs="Calibri" w:eastAsia="Calibri" w:hAnsi="Calibri"/>
          <w:b/>
          <w:bCs/>
          <w:sz w:val="21"/>
          <w:szCs w:val="21"/>
        </w:rPr>
        <w:t xml:space="preserve">4	</w:t>
      </w:r>
      <w:r>
        <w:rPr>
          <w:rFonts w:ascii="Calibri" w:cs="Calibri" w:eastAsia="Calibri" w:hAnsi="Calibri"/>
          <w:b/>
          <w:bCs/>
          <w:sz w:val="21"/>
          <w:szCs w:val="21"/>
        </w:rPr>
        <w:t xml:space="preserve">Status of this Term Sheet.  </w:t>
      </w:r>
      <w:r>
        <w:rPr>
          <w:rFonts w:ascii="Calibri" w:cs="Calibri" w:eastAsia="Calibri" w:hAnsi="Calibri"/>
          <w:sz w:val="21"/>
          <w:szCs w:val="21"/>
        </w:rPr>
        <w:t xml:space="preserve">Except for paragraphs 1, 2, 3, this paragraph 4, paragraph 5 and paragraph 6 (which are intended to be, and are, legally binding on the parties), this Term Sheet is a summary of the principal terms on which the Investor would be prepared to proceed and does not constitute an offer capable of acceptance or a legally binding commitment. No party is under any obligation to proceed with, negotiate or complete the Proposed Transaction. The Proposed Transaction is subject to contract and conditional on, among other things, satisfactory completion of due diligence and the negotiation and execution of the Definitive Documents.</w:t>
      </w:r>
    </w:p>
    <w:p>
      <w:pPr>
        <w:tabs>
          <w:tab w:val="left" w:pos="567"/>
        </w:tabs>
        <w:spacing w:after="120" w:line="264"/>
        <w:ind w:left="567" w:hanging="567"/>
        <w:jc w:val="both"/>
      </w:pPr>
      <w:r>
        <w:rPr>
          <w:rFonts w:ascii="Calibri" w:cs="Calibri" w:eastAsia="Calibri" w:hAnsi="Calibri"/>
          <w:b/>
          <w:bCs/>
          <w:sz w:val="21"/>
          <w:szCs w:val="21"/>
        </w:rPr>
        <w:t xml:space="preserve">5	</w:t>
      </w:r>
      <w:r>
        <w:rPr>
          <w:rFonts w:ascii="Calibri" w:cs="Calibri" w:eastAsia="Calibri" w:hAnsi="Calibri"/>
          <w:b/>
          <w:bCs/>
          <w:sz w:val="21"/>
          <w:szCs w:val="21"/>
        </w:rPr>
        <w:t xml:space="preserve">Governing Law and Jurisdiction.  </w:t>
      </w:r>
      <w:r>
        <w:rPr>
          <w:rFonts w:ascii="Calibri" w:cs="Calibri" w:eastAsia="Calibri" w:hAnsi="Calibri"/>
          <w:sz w:val="21"/>
          <w:szCs w:val="21"/>
        </w:rPr>
        <w:t xml:space="preserve">This Term Sheet and any dispute or claim (including non-contractual disputes or claims) arising out of or in connection with it or its subject matter are governed by, and construed in accordance with, the law of England and Wales, and the parties irrevocably submit to the exclusive jurisdiction of the courts of England and Wales.</w:t>
      </w:r>
    </w:p>
    <w:p>
      <w:pPr>
        <w:tabs>
          <w:tab w:val="left" w:pos="567"/>
        </w:tabs>
        <w:spacing w:after="120" w:line="264"/>
        <w:ind w:left="567" w:hanging="567"/>
        <w:jc w:val="both"/>
      </w:pPr>
      <w:r>
        <w:rPr>
          <w:rFonts w:ascii="Calibri" w:cs="Calibri" w:eastAsia="Calibri" w:hAnsi="Calibri"/>
          <w:b/>
          <w:bCs/>
          <w:sz w:val="21"/>
          <w:szCs w:val="21"/>
        </w:rPr>
        <w:t xml:space="preserve">6	</w:t>
      </w:r>
      <w:r>
        <w:rPr>
          <w:rFonts w:ascii="Calibri" w:cs="Calibri" w:eastAsia="Calibri" w:hAnsi="Calibri"/>
          <w:b/>
          <w:bCs/>
          <w:sz w:val="21"/>
          <w:szCs w:val="21"/>
        </w:rPr>
        <w:t xml:space="preserve">Lapse.  </w:t>
      </w:r>
      <w:r>
        <w:rPr>
          <w:rFonts w:ascii="Calibri" w:cs="Calibri" w:eastAsia="Calibri" w:hAnsi="Calibri"/>
          <w:sz w:val="21"/>
          <w:szCs w:val="21"/>
        </w:rPr>
        <w:t xml:space="preserve">This Term Sheet (including the binding provisions) will lapse and cease to have effect if it has not been signed by all parties by 5.00 p.m. (London time) on 30 July 2024.</w:t>
      </w:r>
    </w:p>
    <w:p>
      <w:pPr>
        <w:spacing w:after="140" w:before="220"/>
        <w:jc w:val="left"/>
      </w:pPr>
      <w:r>
        <w:rPr>
          <w:rFonts w:ascii="Calibri" w:cs="Calibri" w:eastAsia="Calibri" w:hAnsi="Calibri"/>
          <w:b/>
          <w:bCs/>
          <w:sz w:val="21"/>
          <w:szCs w:val="21"/>
        </w:rPr>
        <w:t xml:space="preserve">AGREED AND ACCEPTED</w:t>
      </w:r>
    </w:p>
    <w:p>
      <w:pPr>
        <w:spacing w:after="0" w:before="80"/>
        <w:jc w:val="both"/>
      </w:pPr>
      <w:r>
        <w:rPr>
          <w:rFonts w:ascii="Calibri" w:cs="Calibri" w:eastAsia="Calibri" w:hAnsi="Calibri"/>
          <w:b/>
          <w:bCs/>
          <w:sz w:val="21"/>
          <w:szCs w:val="21"/>
        </w:rPr>
        <w:t xml:space="preserve">Signed for and on behalf of CRESTVIEW CAPITAL PARTNERS LLP</w:t>
      </w:r>
    </w:p>
    <w:p>
      <w:pPr>
        <w:spacing w:after="0" w:before="16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Signature</w:t>
      </w:r>
    </w:p>
    <w:p>
      <w:pPr>
        <w:spacing w:after="0"/>
        <w:jc w:val="both"/>
      </w:pPr>
      <w:r>
        <w:rPr>
          <w:rFonts w:ascii="Calibri" w:cs="Calibri" w:eastAsia="Calibri" w:hAnsi="Calibri"/>
          <w:sz w:val="21"/>
          <w:szCs w:val="21"/>
        </w:rPr>
        <w:t xml:space="preserve">Name:  Daniel Reeve</w:t>
      </w:r>
    </w:p>
    <w:p>
      <w:pPr>
        <w:spacing w:after="0"/>
        <w:jc w:val="both"/>
      </w:pPr>
      <w:r>
        <w:rPr>
          <w:rFonts w:ascii="Calibri" w:cs="Calibri" w:eastAsia="Calibri" w:hAnsi="Calibri"/>
          <w:sz w:val="21"/>
          <w:szCs w:val="21"/>
        </w:rPr>
        <w:t xml:space="preserve">Title:  Partner, duly authorised</w:t>
      </w:r>
    </w:p>
    <w:p>
      <w:pPr>
        <w:spacing w:after="200"/>
        <w:jc w:val="both"/>
      </w:pPr>
      <w:r>
        <w:rPr>
          <w:rFonts w:ascii="Calibri" w:cs="Calibri" w:eastAsia="Calibri" w:hAnsi="Calibri"/>
          <w:sz w:val="21"/>
          <w:szCs w:val="21"/>
        </w:rPr>
        <w:t xml:space="preserve">Date:  18 July 2024</w:t>
      </w:r>
    </w:p>
    <w:p>
      <w:pPr>
        <w:spacing w:after="0" w:before="80"/>
        <w:jc w:val="both"/>
      </w:pPr>
      <w:r>
        <w:rPr>
          <w:rFonts w:ascii="Calibri" w:cs="Calibri" w:eastAsia="Calibri" w:hAnsi="Calibri"/>
          <w:b/>
          <w:bCs/>
          <w:sz w:val="21"/>
          <w:szCs w:val="21"/>
        </w:rPr>
        <w:t xml:space="preserve">Signed for and on behalf of FAIRCHAIN TECHNOLOGIES LTD</w:t>
      </w:r>
    </w:p>
    <w:p>
      <w:pPr>
        <w:spacing w:after="0" w:before="16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Signature</w:t>
      </w:r>
    </w:p>
    <w:p>
      <w:pPr>
        <w:spacing w:after="0"/>
        <w:jc w:val="both"/>
      </w:pPr>
      <w:r>
        <w:rPr>
          <w:rFonts w:ascii="Calibri" w:cs="Calibri" w:eastAsia="Calibri" w:hAnsi="Calibri"/>
          <w:sz w:val="21"/>
          <w:szCs w:val="21"/>
        </w:rPr>
        <w:t xml:space="preserve">Name:  Sophie Reinhardt</w:t>
      </w:r>
    </w:p>
    <w:p>
      <w:pPr>
        <w:spacing w:after="0"/>
        <w:jc w:val="both"/>
      </w:pPr>
      <w:r>
        <w:rPr>
          <w:rFonts w:ascii="Calibri" w:cs="Calibri" w:eastAsia="Calibri" w:hAnsi="Calibri"/>
          <w:sz w:val="21"/>
          <w:szCs w:val="21"/>
        </w:rPr>
        <w:t xml:space="preserve">Title:  Director and Chief Executive Officer</w:t>
      </w:r>
    </w:p>
    <w:p>
      <w:pPr>
        <w:spacing w:after="200"/>
        <w:jc w:val="both"/>
      </w:pPr>
      <w:r>
        <w:rPr>
          <w:rFonts w:ascii="Calibri" w:cs="Calibri" w:eastAsia="Calibri" w:hAnsi="Calibri"/>
          <w:sz w:val="21"/>
          <w:szCs w:val="21"/>
        </w:rPr>
        <w:t xml:space="preserve">Date:  18 July 2024</w:t>
      </w:r>
    </w:p>
    <w:p>
      <w:pPr>
        <w:spacing w:after="0" w:before="80"/>
        <w:jc w:val="both"/>
      </w:pPr>
      <w:r>
        <w:rPr>
          <w:rFonts w:ascii="Calibri" w:cs="Calibri" w:eastAsia="Calibri" w:hAnsi="Calibri"/>
          <w:sz w:val="21"/>
          <w:szCs w:val="21"/>
        </w:rPr>
        <w:t xml:space="preserve">Signed by the Founder, for the purposes of the binding provisions of this Term Sheet only:</w:t>
      </w:r>
    </w:p>
    <w:p>
      <w:pPr>
        <w:spacing w:after="0" w:before="160"/>
      </w:pPr>
      <w:r>
        <w:rPr>
          <w:rFonts w:ascii="Calibri" w:cs="Calibri" w:eastAsia="Calibri" w:hAnsi="Calibri"/>
          <w:sz w:val="21"/>
          <w:szCs w:val="21"/>
        </w:rPr>
        <w:t xml:space="preserve">..............................................</w:t>
      </w:r>
    </w:p>
    <w:p>
      <w:pPr>
        <w:spacing w:after="0"/>
        <w:jc w:val="both"/>
      </w:pPr>
      <w:r>
        <w:rPr>
          <w:rFonts w:ascii="Calibri" w:cs="Calibri" w:eastAsia="Calibri" w:hAnsi="Calibri"/>
          <w:sz w:val="21"/>
          <w:szCs w:val="21"/>
        </w:rPr>
        <w:t xml:space="preserve">Sophie Reinhardt          Date:  18 July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08080"/>
        <w:sz w:val="16"/>
        <w:szCs w:val="16"/>
      </w:rPr>
      <w:t xml:space="preserve">Whitfield Carter LLP   |   Matter 47291-0014   |   Series A Term Sheet – FairChain Technologies</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2026-05-21T01:38:21.324Z</dcterms:created>
  <dcterms:modified xsi:type="dcterms:W3CDTF">2026-05-21T01:38:21.325Z</dcterms:modified>
</cp:coreProperties>
</file>

<file path=docProps/custom.xml><?xml version="1.0" encoding="utf-8"?>
<Properties xmlns="http://schemas.openxmlformats.org/officeDocument/2006/custom-properties" xmlns:vt="http://schemas.openxmlformats.org/officeDocument/2006/docPropsVTypes"/>
</file>