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20" w:before="0"/>
        <w:jc w:val="left"/>
      </w:pPr>
      <w:r>
        <w:rPr>
          <w:b/>
          <w:bCs/>
          <w:sz w:val="24"/>
          <w:szCs w:val="24"/>
        </w:rPr>
        <w:t xml:space="preserve">LUMINOS AI LTD</w:t>
      </w:r>
    </w:p>
    <w:p>
      <w:pPr>
        <w:spacing w:after="20" w:before="0"/>
        <w:jc w:val="left"/>
      </w:pPr>
      <w:r>
        <w:rPr>
          <w:sz w:val="18"/>
          <w:szCs w:val="18"/>
        </w:rPr>
        <w:t xml:space="preserve">Oxford Centre for Innovation, New Road, Oxford OX1 1BY</w:t>
      </w:r>
    </w:p>
    <w:p>
      <w:pPr>
        <w:spacing w:after="260" w:before="0"/>
        <w:jc w:val="left"/>
      </w:pPr>
      <w:r>
        <w:rPr>
          <w:i/>
          <w:iCs/>
          <w:sz w:val="18"/>
          <w:szCs w:val="18"/>
        </w:rPr>
        <w:t xml:space="preserve">Registered in England and Wales with company number 12784563</w:t>
      </w:r>
    </w:p>
    <w:p>
      <w:pPr>
        <w:spacing w:after="240" w:before="0"/>
        <w:jc w:val="left"/>
      </w:pPr>
      <w:r>
        <w:t xml:space="preserve">15 March 2024</w:t>
      </w:r>
    </w:p>
    <w:p>
      <w:pPr>
        <w:spacing w:after="20" w:before="0"/>
        <w:jc w:val="left"/>
      </w:pPr>
      <w:r>
        <w:t xml:space="preserve">Crestview Capital Partners LLP</w:t>
      </w:r>
    </w:p>
    <w:p>
      <w:pPr>
        <w:spacing w:after="20" w:before="0"/>
        <w:jc w:val="left"/>
      </w:pPr>
      <w:r>
        <w:t xml:space="preserve">18 St James’s Square</w:t>
      </w:r>
    </w:p>
    <w:p>
      <w:pPr>
        <w:spacing w:after="200" w:before="0"/>
        <w:jc w:val="left"/>
      </w:pPr>
      <w:r>
        <w:t xml:space="preserve">London SW1Y 4JR</w:t>
      </w:r>
    </w:p>
    <w:p>
      <w:pPr>
        <w:spacing w:after="240" w:before="0"/>
        <w:jc w:val="left"/>
      </w:pPr>
      <w:r>
        <w:rPr>
          <w:i/>
          <w:iCs/>
        </w:rPr>
        <w:t xml:space="preserve">For the attention of Margaret Holloway</w:t>
      </w:r>
    </w:p>
    <w:p>
      <w:pPr>
        <w:spacing w:after="200" w:before="0"/>
        <w:jc w:val="left"/>
      </w:pPr>
      <w:r>
        <w:t xml:space="preserve">Dear Sirs</w:t>
      </w:r>
    </w:p>
    <w:p>
      <w:pPr>
        <w:spacing w:after="200" w:before="0"/>
        <w:jc w:val="left"/>
      </w:pPr>
      <w:r>
        <w:rPr>
          <w:b/>
          <w:bCs/>
        </w:rPr>
        <w:t xml:space="preserve">Series B preference share investment in Luminos AI Ltd — Side Letter</w:t>
      </w:r>
    </w:p>
    <w:p>
      <w:pPr>
        <w:spacing w:after="160" w:before="0"/>
        <w:jc w:val="both"/>
      </w:pPr>
      <w:r>
        <w:t xml:space="preserve">We refer to the matters set out below. This letter is a side letter recording certain additional rights granted by the Company to the Investor in connection with the Investor’s subscription for Series B preference shares in the capital of the Company.</w:t>
      </w:r>
    </w:p>
    <w:p>
      <w:pPr>
        <w:keepNext/>
        <w:tabs>
          <w:tab w:val="left" w:pos="600"/>
        </w:tabs>
        <w:spacing w:after="70" w:before="150"/>
        <w:ind w:left="600" w:hanging="600"/>
        <w:jc w:val="both"/>
      </w:pPr>
      <w:r>
        <w:rPr>
          <w:b/>
          <w:bCs/>
        </w:rPr>
        <w:t xml:space="preserve">1	</w:t>
      </w:r>
      <w:r>
        <w:rPr>
          <w:b/>
          <w:bCs/>
        </w:rPr>
        <w:t xml:space="preserve">INTRODUCTION AND DEFINITIONS</w:t>
      </w:r>
    </w:p>
    <w:p>
      <w:pPr>
        <w:tabs>
          <w:tab w:val="left" w:pos="600"/>
        </w:tabs>
        <w:spacing w:after="54" w:before="0"/>
        <w:ind w:left="600" w:hanging="600"/>
        <w:jc w:val="both"/>
      </w:pPr>
      <w:r>
        <w:t xml:space="preserve">1.1	</w:t>
      </w:r>
      <w:r>
        <w:t xml:space="preserve">In this letter:</w:t>
      </w:r>
    </w:p>
    <w:p>
      <w:pPr>
        <w:tabs>
          <w:tab w:val="left" w:pos="1200"/>
        </w:tabs>
        <w:spacing w:after="54" w:before="0"/>
        <w:ind w:left="1200" w:hanging="600"/>
        <w:jc w:val="both"/>
      </w:pPr>
      <w:r>
        <w:t xml:space="preserve">(a)	</w:t>
      </w:r>
      <w:r>
        <w:t xml:space="preserve">the “Subscription Agreement” means the subscription and shareholders’ agreement dated 15 March 2024 and made between Crestview Capital Partners LLP (the “Investor”), Luminos AI Ltd (the “Company”) and the Founders;</w:t>
      </w:r>
    </w:p>
    <w:p>
      <w:pPr>
        <w:tabs>
          <w:tab w:val="left" w:pos="1200"/>
        </w:tabs>
        <w:spacing w:after="54" w:before="0"/>
        <w:ind w:left="1200" w:hanging="600"/>
        <w:jc w:val="both"/>
      </w:pPr>
      <w:r>
        <w:t xml:space="preserve">(b)	</w:t>
      </w:r>
      <w:r>
        <w:t xml:space="preserve">the “Investor Rights Agreement” means the investor rights agreement dated 15 March 2024 and made between the Investor, the Company and the Founders; and</w:t>
      </w:r>
    </w:p>
    <w:p>
      <w:pPr>
        <w:tabs>
          <w:tab w:val="left" w:pos="1200"/>
        </w:tabs>
        <w:spacing w:after="54" w:before="0"/>
        <w:ind w:left="1200" w:hanging="600"/>
        <w:jc w:val="both"/>
      </w:pPr>
      <w:r>
        <w:t xml:space="preserve">(c)	</w:t>
      </w:r>
      <w:r>
        <w:t xml:space="preserve">this letter is referred to as this “Side Letter”.</w:t>
      </w:r>
    </w:p>
    <w:p>
      <w:pPr>
        <w:tabs>
          <w:tab w:val="left" w:pos="600"/>
        </w:tabs>
        <w:spacing w:after="54" w:before="0"/>
        <w:ind w:left="600" w:hanging="600"/>
        <w:jc w:val="both"/>
      </w:pPr>
      <w:r>
        <w:t xml:space="preserve">1.2	</w:t>
      </w:r>
      <w:r>
        <w:t xml:space="preserve">This Side Letter is the side letter referred to in clause 7.3(a) of the Investor Rights Agreement. Words and expressions defined in the Subscription Agreement or the Investor Rights Agreement have the same meaning when used in this Side Letter, unless they are otherwise defined in it or the context requires otherwise.</w:t>
      </w:r>
    </w:p>
    <w:p>
      <w:pPr>
        <w:tabs>
          <w:tab w:val="left" w:pos="600"/>
        </w:tabs>
        <w:spacing w:after="54" w:before="0"/>
        <w:ind w:left="600" w:hanging="600"/>
        <w:jc w:val="both"/>
      </w:pPr>
      <w:r>
        <w:t xml:space="preserve">1.3	</w:t>
      </w:r>
      <w:r>
        <w:t xml:space="preserve">This Side Letter records certain additional rights granted by the Company to the Investor with effect from Completion. It is a Transaction Document for the purposes of the Subscription Agreement.</w:t>
      </w:r>
    </w:p>
    <w:p>
      <w:pPr>
        <w:keepNext/>
        <w:tabs>
          <w:tab w:val="left" w:pos="600"/>
        </w:tabs>
        <w:spacing w:after="70" w:before="150"/>
        <w:ind w:left="600" w:hanging="600"/>
        <w:jc w:val="both"/>
      </w:pPr>
      <w:r>
        <w:rPr>
          <w:b/>
          <w:bCs/>
        </w:rPr>
        <w:t xml:space="preserve">2	</w:t>
      </w:r>
      <w:r>
        <w:rPr>
          <w:b/>
          <w:bCs/>
        </w:rPr>
        <w:t xml:space="preserve">ADDITIONAL BOARD OBSERVER</w:t>
      </w:r>
    </w:p>
    <w:p>
      <w:pPr>
        <w:tabs>
          <w:tab w:val="left" w:pos="600"/>
        </w:tabs>
        <w:spacing w:after="54" w:before="0"/>
        <w:ind w:left="600" w:hanging="600"/>
        <w:jc w:val="both"/>
      </w:pPr>
      <w:r>
        <w:t xml:space="preserve">2.1	</w:t>
      </w:r>
      <w:r>
        <w:t xml:space="preserve">In addition to the Observer whom the Investor is entitled to appoint under clause 13.2 of the Subscription Agreement, the Company grants the Investor the right, exercisable at any time by written notice to the Company, to appoint, remove and replace one further person as a non-voting observer of the Board (the “Additional Observer”).</w:t>
      </w:r>
    </w:p>
    <w:p>
      <w:pPr>
        <w:tabs>
          <w:tab w:val="left" w:pos="600"/>
        </w:tabs>
        <w:spacing w:after="54" w:before="0"/>
        <w:ind w:left="600" w:hanging="600"/>
        <w:jc w:val="both"/>
      </w:pPr>
      <w:r>
        <w:t xml:space="preserve">2.2	</w:t>
      </w:r>
      <w:r>
        <w:t xml:space="preserve">The Additional Observer is entitled to attend and speak (but not to vote) at all meetings of the Board and of its committees, and to receive notice of those meetings and all accompanying agendas and papers, in each case at the same time and in the same manner as the directors and on the same terms as apply to the Observer under clause 13.2 of the Subscription Agreement.</w:t>
      </w:r>
    </w:p>
    <w:p>
      <w:pPr>
        <w:tabs>
          <w:tab w:val="left" w:pos="600"/>
        </w:tabs>
        <w:spacing w:after="54" w:before="0"/>
        <w:ind w:left="600" w:hanging="600"/>
        <w:jc w:val="both"/>
      </w:pPr>
      <w:r>
        <w:t xml:space="preserve">2.3	</w:t>
      </w:r>
      <w:r>
        <w:t xml:space="preserve">The Company may require the Additional Observer to enter into a reasonable confidentiality undertaking in favour of the Company as a condition of attendance, and clause 13.6 of the Subscription Agreement (information sharing and confidentiality) applies to the Additional Observer as it applies to the Observer.</w:t>
      </w:r>
    </w:p>
    <w:p>
      <w:pPr>
        <w:keepNext/>
        <w:tabs>
          <w:tab w:val="left" w:pos="600"/>
        </w:tabs>
        <w:spacing w:after="70" w:before="150"/>
        <w:ind w:left="600" w:hanging="600"/>
        <w:jc w:val="both"/>
      </w:pPr>
      <w:r>
        <w:rPr>
          <w:b/>
          <w:bCs/>
        </w:rPr>
        <w:t xml:space="preserve">3	</w:t>
      </w:r>
      <w:r>
        <w:rPr>
          <w:b/>
          <w:bCs/>
        </w:rPr>
        <w:t xml:space="preserve">EXPANDED INFORMATION RIGHTS: WEEKLY KPI DASHBOARD</w:t>
      </w:r>
    </w:p>
    <w:p>
      <w:pPr>
        <w:tabs>
          <w:tab w:val="left" w:pos="600"/>
        </w:tabs>
        <w:spacing w:after="54" w:before="0"/>
        <w:ind w:left="600" w:hanging="600"/>
        <w:jc w:val="both"/>
      </w:pPr>
      <w:r>
        <w:t xml:space="preserve">3.1	</w:t>
      </w:r>
      <w:r>
        <w:t xml:space="preserve">In addition to the information rights of the Investor under clause 15 of the Subscription Agreement and clause 3 of the Investor Rights Agreement, the Company will, for so long as the Investor holds any Series B Shares, provide the Investor with access to a weekly key performance indicator dashboard (the “KPI Dashboard”).</w:t>
      </w:r>
    </w:p>
    <w:p>
      <w:pPr>
        <w:tabs>
          <w:tab w:val="left" w:pos="600"/>
        </w:tabs>
        <w:spacing w:after="54" w:before="0"/>
        <w:ind w:left="600" w:hanging="600"/>
        <w:jc w:val="both"/>
      </w:pPr>
      <w:r>
        <w:t xml:space="preserve">3.2	</w:t>
      </w:r>
      <w:r>
        <w:t xml:space="preserve">The KPI Dashboard will be made available to the Investor by no later than the end of the second Business Day of each week, and will report, as a minimum, the Company’s principal operating and financial key performance indicators, including cash balance and cash runway, contracted and recurring revenue, new and lost customers, sales pipeline, gross margin and headcount.</w:t>
      </w:r>
    </w:p>
    <w:p>
      <w:pPr>
        <w:tabs>
          <w:tab w:val="left" w:pos="600"/>
        </w:tabs>
        <w:spacing w:after="54" w:before="0"/>
        <w:ind w:left="600" w:hanging="600"/>
        <w:jc w:val="both"/>
      </w:pPr>
      <w:r>
        <w:t xml:space="preserve">3.3	</w:t>
      </w:r>
      <w:r>
        <w:t xml:space="preserve">Access to the KPI Dashboard may be provided through a secure online portal, and the Investor may grant access to those of its representatives to whom it is permitted to disclose information under clause 3.4 of the Investor Rights Agreement. Information contained in or derived from the KPI Dashboard is Confidential Information for the purposes of the Investor Rights Agreement.</w:t>
      </w:r>
    </w:p>
    <w:p>
      <w:pPr>
        <w:keepNext/>
        <w:tabs>
          <w:tab w:val="left" w:pos="600"/>
        </w:tabs>
        <w:spacing w:after="70" w:before="150"/>
        <w:ind w:left="600" w:hanging="600"/>
        <w:jc w:val="both"/>
      </w:pPr>
      <w:r>
        <w:rPr>
          <w:b/>
          <w:bCs/>
        </w:rPr>
        <w:t xml:space="preserve">4	</w:t>
      </w:r>
      <w:r>
        <w:rPr>
          <w:b/>
          <w:bCs/>
        </w:rPr>
        <w:t xml:space="preserve">CO-INVESTMENT RIGHT</w:t>
      </w:r>
    </w:p>
    <w:p>
      <w:pPr>
        <w:tabs>
          <w:tab w:val="left" w:pos="600"/>
        </w:tabs>
        <w:spacing w:after="54" w:before="0"/>
        <w:ind w:left="600" w:hanging="600"/>
        <w:jc w:val="both"/>
      </w:pPr>
      <w:r>
        <w:t xml:space="preserve">4.1	</w:t>
      </w:r>
      <w:r>
        <w:t xml:space="preserve">In this paragraph 4, the “Opportunity Fund” means Crestview Opportunities Fund I, L.P., or any other co-investment fund, vehicle or account managed or advised by the Investor or by an Affiliate of the Investor and notified by the Investor to the Company as such, and which is in each case an Affiliate of the Investor.</w:t>
      </w:r>
    </w:p>
    <w:p>
      <w:pPr>
        <w:tabs>
          <w:tab w:val="left" w:pos="600"/>
        </w:tabs>
        <w:spacing w:after="54" w:before="0"/>
        <w:ind w:left="600" w:hanging="600"/>
        <w:jc w:val="both"/>
      </w:pPr>
      <w:r>
        <w:t xml:space="preserve">4.2	</w:t>
      </w:r>
      <w:r>
        <w:t xml:space="preserve">If, at any time while the Investor holds any Series B Shares, the Company proposes to issue any shares or other equity securities in a fundraising round (a “Future Round”), the Company will offer the Opportunity Fund the right to subscribe, as a co-investor alongside the Investor, for such number of the securities offered in that Future Round as the Investor may specify, up to an amount equal to the amount subscribed by the Investor in that Future Round, in each case at the same price per security and otherwise on the same terms as apply to the Investor in that Future Round.</w:t>
      </w:r>
    </w:p>
    <w:p>
      <w:pPr>
        <w:tabs>
          <w:tab w:val="left" w:pos="600"/>
        </w:tabs>
        <w:spacing w:after="54" w:before="0"/>
        <w:ind w:left="600" w:hanging="600"/>
        <w:jc w:val="both"/>
      </w:pPr>
      <w:r>
        <w:t xml:space="preserve">4.3	</w:t>
      </w:r>
      <w:r>
        <w:t xml:space="preserve">The co-investment right in paragraph 4.2 is in addition to, and not in substitution for, the pre-emption rights of the Investor under clause 16 of the Subscription Agreement, clause 5 of the Investor Rights Agreement and the New Articles, and may be exercised by the Investor on behalf of the Opportunity Fund by written notice to the Company given before completion of the relevant Future Round.</w:t>
      </w:r>
    </w:p>
    <w:p>
      <w:pPr>
        <w:tabs>
          <w:tab w:val="left" w:pos="600"/>
        </w:tabs>
        <w:spacing w:after="54" w:before="0"/>
        <w:ind w:left="600" w:hanging="600"/>
        <w:jc w:val="both"/>
      </w:pPr>
      <w:r>
        <w:t xml:space="preserve">4.4	</w:t>
      </w:r>
      <w:r>
        <w:t xml:space="preserve">The Company is not obliged to offer the Opportunity Fund any right under this paragraph 4 to the extent that, and for so long as, doing so would prevent a Future Round from qualifying for any tax-advantaged investment relief that the Company has agreed in writing to preserve for other subscribers in that Future Round.</w:t>
      </w:r>
    </w:p>
    <w:p>
      <w:pPr>
        <w:keepNext/>
        <w:tabs>
          <w:tab w:val="left" w:pos="600"/>
        </w:tabs>
        <w:spacing w:after="70" w:before="150"/>
        <w:ind w:left="600" w:hanging="600"/>
        <w:jc w:val="both"/>
      </w:pPr>
      <w:r>
        <w:rPr>
          <w:b/>
          <w:bCs/>
        </w:rPr>
        <w:t xml:space="preserve">5	</w:t>
      </w:r>
      <w:r>
        <w:rPr>
          <w:b/>
          <w:bCs/>
        </w:rPr>
        <w:t xml:space="preserve">STATUS OF THIS SIDE LETTER</w:t>
      </w:r>
    </w:p>
    <w:p>
      <w:pPr>
        <w:tabs>
          <w:tab w:val="left" w:pos="600"/>
        </w:tabs>
        <w:spacing w:after="54" w:before="0"/>
        <w:ind w:left="600" w:hanging="600"/>
        <w:jc w:val="both"/>
      </w:pPr>
      <w:r>
        <w:t xml:space="preserve">5.1	</w:t>
      </w:r>
      <w:r>
        <w:t xml:space="preserve">This Side Letter supplements the Subscription Agreement and the Investor Rights Agreement. The rights granted by it are in addition to, and do not limit or replace, the rights of the Investor under the Subscription Agreement, the Investor Rights Agreement and the New Articles.</w:t>
      </w:r>
    </w:p>
    <w:p>
      <w:pPr>
        <w:tabs>
          <w:tab w:val="left" w:pos="600"/>
        </w:tabs>
        <w:spacing w:after="54" w:before="0"/>
        <w:ind w:left="600" w:hanging="600"/>
        <w:jc w:val="both"/>
      </w:pPr>
      <w:r>
        <w:t xml:space="preserve">5.2	</w:t>
      </w:r>
      <w:r>
        <w:t xml:space="preserve">In the event of any conflict or inconsistency between this Side Letter and the Subscription Agreement or the Investor Rights Agreement in relation to the additional rights granted by paragraphs 2 to 4, this Side Letter prevails as between the Company and the Investor.</w:t>
      </w:r>
    </w:p>
    <w:p>
      <w:pPr>
        <w:tabs>
          <w:tab w:val="left" w:pos="600"/>
        </w:tabs>
        <w:spacing w:after="54" w:before="0"/>
        <w:ind w:left="600" w:hanging="600"/>
        <w:jc w:val="both"/>
      </w:pPr>
      <w:r>
        <w:t xml:space="preserve">5.3	</w:t>
      </w:r>
      <w:r>
        <w:t xml:space="preserve">The Investor and the Company acknowledge that this Side Letter is the side letter referred to in clause 7.3(a) of the Investor Rights Agreement and that, accordingly, the most favoured nation provision in clause 7 of the Investor Rights Agreement does not apply to the rights granted to the Investor by this Side Letter.</w:t>
      </w:r>
    </w:p>
    <w:p>
      <w:pPr>
        <w:tabs>
          <w:tab w:val="left" w:pos="600"/>
        </w:tabs>
        <w:spacing w:after="54" w:before="0"/>
        <w:ind w:left="600" w:hanging="600"/>
        <w:jc w:val="both"/>
      </w:pPr>
      <w:r>
        <w:t xml:space="preserve">5.4	</w:t>
      </w:r>
      <w:r>
        <w:t xml:space="preserve">This Side Letter is governed by, and construed in accordance with, the law of England and Wales, and the courts of England and Wales have exclusive jurisdiction in relation to it. Clauses 11 (Notices) and 12 (General) of the Investor Rights Agreement apply to this Side Letter as if set out in it in full, with the necessary changes.</w:t>
      </w:r>
    </w:p>
    <w:p>
      <w:pPr>
        <w:tabs>
          <w:tab w:val="left" w:pos="600"/>
        </w:tabs>
        <w:spacing w:after="200" w:before="0"/>
        <w:ind w:left="600" w:hanging="600"/>
        <w:jc w:val="both"/>
      </w:pPr>
      <w:r>
        <w:t xml:space="preserve">5.5	</w:t>
      </w:r>
      <w:r>
        <w:t xml:space="preserve">This Side Letter may be executed in any number of counterparts, each of which when executed constitutes an original, and all of which together constitute one and the same instrument.</w:t>
      </w:r>
    </w:p>
    <w:p>
      <w:pPr>
        <w:spacing w:after="200" w:before="0"/>
        <w:jc w:val="both"/>
      </w:pPr>
      <w:r>
        <w:t xml:space="preserve">Please confirm the Company’s and the Investor’s agreement to the terms of this Side Letter, and the Founders’ acknowledgement of it, by signing and returning the enclosed copy of this letter.</w:t>
      </w:r>
    </w:p>
    <w:p>
      <w:pPr>
        <w:spacing w:after="320" w:before="0"/>
        <w:jc w:val="left"/>
      </w:pPr>
      <w:r>
        <w:t xml:space="preserve">Yours faithfully</w:t>
      </w:r>
    </w:p>
    <w:p>
      <w:pPr>
        <w:spacing w:after="20" w:before="0"/>
      </w:pPr>
      <w:r>
        <w:t xml:space="preserve">.............................................................</w:t>
      </w:r>
    </w:p>
    <w:p>
      <w:pPr>
        <w:spacing w:after="20" w:before="0"/>
      </w:pPr>
      <w:r>
        <w:rPr>
          <w:i/>
          <w:iCs/>
        </w:rPr>
        <w:t xml:space="preserve">for and on behalf of</w:t>
      </w:r>
    </w:p>
    <w:p>
      <w:pPr>
        <w:spacing w:after="20" w:before="0"/>
      </w:pPr>
      <w:r>
        <w:rPr>
          <w:b/>
          <w:bCs/>
        </w:rPr>
        <w:t xml:space="preserve">LUMINOS AI LTD</w:t>
      </w:r>
    </w:p>
    <w:p>
      <w:pPr>
        <w:spacing w:after="20" w:before="0"/>
      </w:pPr>
      <w:r>
        <w:t xml:space="preserve">Name:	Dr Priya Anand</w:t>
      </w:r>
    </w:p>
    <w:p>
      <w:pPr>
        <w:spacing w:after="20" w:before="0"/>
      </w:pPr>
      <w:r>
        <w:t xml:space="preserve">Title:	Director</w:t>
      </w:r>
    </w:p>
    <w:p>
      <w:pPr>
        <w:spacing w:after="360" w:before="0"/>
      </w:pPr>
      <w:r>
        <w:t xml:space="preserve">Date:	15 March 2024</w:t>
      </w:r>
    </w:p>
    <w:p>
      <w:pPr>
        <w:spacing w:after="220" w:before="0"/>
        <w:jc w:val="left"/>
      </w:pPr>
      <w:r>
        <w:rPr>
          <w:b/>
          <w:bCs/>
        </w:rPr>
        <w:t xml:space="preserve">We agree to and accept the terms of this Side Letter.</w:t>
      </w:r>
    </w:p>
    <w:p>
      <w:pPr>
        <w:spacing w:after="20" w:before="0"/>
      </w:pPr>
      <w:r>
        <w:t xml:space="preserve">.............................................................</w:t>
      </w:r>
    </w:p>
    <w:p>
      <w:pPr>
        <w:spacing w:after="20" w:before="0"/>
      </w:pPr>
      <w:r>
        <w:rPr>
          <w:i/>
          <w:iCs/>
        </w:rPr>
        <w:t xml:space="preserve">for and on behalf of</w:t>
      </w:r>
    </w:p>
    <w:p>
      <w:pPr>
        <w:spacing w:after="20" w:before="0"/>
      </w:pPr>
      <w:r>
        <w:rPr>
          <w:b/>
          <w:bCs/>
        </w:rPr>
        <w:t xml:space="preserve">CRESTVIEW CAPITAL PARTNERS LLP</w:t>
      </w:r>
    </w:p>
    <w:p>
      <w:pPr>
        <w:spacing w:after="20" w:before="0"/>
      </w:pPr>
      <w:r>
        <w:t xml:space="preserve">Name:	Margaret Holloway</w:t>
      </w:r>
    </w:p>
    <w:p>
      <w:pPr>
        <w:spacing w:after="20" w:before="0"/>
      </w:pPr>
      <w:r>
        <w:t xml:space="preserve">Title:	Authorised signatory</w:t>
      </w:r>
    </w:p>
    <w:p>
      <w:pPr>
        <w:spacing w:after="360" w:before="0"/>
      </w:pPr>
      <w:r>
        <w:t xml:space="preserve">Date:	15 March 2024</w:t>
      </w:r>
    </w:p>
    <w:p>
      <w:pPr>
        <w:spacing w:after="220" w:before="0"/>
        <w:jc w:val="left"/>
      </w:pPr>
      <w:r>
        <w:rPr>
          <w:b/>
          <w:bCs/>
        </w:rPr>
        <w:t xml:space="preserve">We acknowledge the terms of this Side Letter.</w:t>
      </w:r>
    </w:p>
    <w:p>
      <w:pPr>
        <w:spacing w:after="20" w:before="0"/>
      </w:pPr>
      <w:r>
        <w:t xml:space="preserve">.............................................................</w:t>
      </w:r>
    </w:p>
    <w:p>
      <w:pPr>
        <w:spacing w:after="20" w:before="0"/>
      </w:pPr>
      <w:r>
        <w:rPr>
          <w:b/>
          <w:bCs/>
        </w:rPr>
        <w:t xml:space="preserve">DR PRIYA ANAND</w:t>
      </w:r>
    </w:p>
    <w:p>
      <w:pPr>
        <w:spacing w:after="20" w:before="0"/>
      </w:pPr>
      <w:r>
        <w:rPr>
          <w:i/>
          <w:iCs/>
        </w:rPr>
        <w:t xml:space="preserve">Founder</w:t>
      </w:r>
    </w:p>
    <w:p>
      <w:pPr>
        <w:spacing w:after="300" w:before="0"/>
      </w:pPr>
      <w:r>
        <w:t xml:space="preserve">Date:	15 March 2024</w:t>
      </w:r>
    </w:p>
    <w:p>
      <w:pPr>
        <w:spacing w:after="20" w:before="0"/>
      </w:pPr>
      <w:r>
        <w:t xml:space="preserve">.............................................................</w:t>
      </w:r>
    </w:p>
    <w:p>
      <w:pPr>
        <w:spacing w:after="20" w:before="0"/>
      </w:pPr>
      <w:r>
        <w:rPr>
          <w:b/>
          <w:bCs/>
        </w:rPr>
        <w:t xml:space="preserve">DR OLIVER KESSLER</w:t>
      </w:r>
    </w:p>
    <w:p>
      <w:pPr>
        <w:spacing w:after="20" w:before="0"/>
      </w:pPr>
      <w:r>
        <w:rPr>
          <w:i/>
          <w:iCs/>
        </w:rPr>
        <w:t xml:space="preserve">Founder</w:t>
      </w:r>
    </w:p>
    <w:p>
      <w:pPr>
        <w:spacing w:after="20" w:before="0"/>
      </w:pPr>
      <w:r>
        <w:t xml:space="preserve">Date:	15 March 2024</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Bdr>
        <w:top w:val="single" w:color="BFBFBF" w:sz="4" w:space="5"/>
      </w:pBdr>
      <w:tabs>
        <w:tab w:val="right" w:pos="9026"/>
      </w:tabs>
    </w:pPr>
    <w:r>
      <w:rPr>
        <w:color w:val="808080"/>
        <w:sz w:val="15"/>
        <w:szCs w:val="15"/>
      </w:rPr>
      <w:t xml:space="preserve">Whitfield Carter LLP   |   Matter 47291-0001   |   Side Letter – Crestview / Luminos AI</w:t>
    </w:r>
    <w:r>
      <w:rPr>
        <w:color w:val="808080"/>
        <w:sz w:val="15"/>
        <w:szCs w:val="15"/>
      </w:rPr>
      <w:t xml:space="preserve">	Page </w:t>
    </w:r>
    <w:r>
      <w:rPr>
        <w:color w:val="808080"/>
        <w:sz w:val="15"/>
        <w:szCs w:val="15"/>
      </w:rPr>
      <w:fldChar w:fldCharType="begin"/>
    </w:r>
    <w:r>
      <w:rPr>
        <w:color w:val="808080"/>
        <w:sz w:val="15"/>
        <w:szCs w:val="15"/>
      </w:rPr>
      <w:instrText xml:space="preserve">PAGE</w:instrText>
    </w:r>
    <w:r>
      <w:rPr>
        <w:color w:val="808080"/>
        <w:sz w:val="15"/>
        <w:szCs w:val="15"/>
      </w:rPr>
      <w:fldChar w:fldCharType="end"/>
    </w:r>
    <w:r>
      <w:rPr>
        <w:color w:val="808080"/>
        <w:sz w:val="15"/>
        <w:szCs w:val="15"/>
      </w:rPr>
      <w:t xml:space="preserve"> of </w:t>
    </w:r>
    <w:r>
      <w:rPr>
        <w:color w:val="808080"/>
        <w:sz w:val="15"/>
        <w:szCs w:val="15"/>
      </w:rPr>
      <w:fldChar w:fldCharType="begin"/>
    </w:r>
    <w:r>
      <w:rPr>
        <w:color w:val="808080"/>
        <w:sz w:val="15"/>
        <w:szCs w:val="15"/>
      </w:rPr>
      <w:instrText xml:space="preserve">NUMPAGES</w:instrText>
    </w:r>
    <w:r>
      <w:rPr>
        <w:color w:val="808080"/>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w:p>
    <w:pPr>
      <w:spacing w:after="40"/>
      <w:jc w:val="right"/>
    </w:pPr>
    <w:r>
      <w:rPr>
        <w:b/>
        <w:bCs/>
        <w:color w:val="808080"/>
        <w:sz w:val="15"/>
        <w:szCs w:val="15"/>
      </w:rPr>
      <w:t xml:space="preserve">PRIVATE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33"/>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2026-05-20T22:13:40.395Z</dcterms:created>
  <dcterms:modified xsi:type="dcterms:W3CDTF">2026-05-20T22:13:40.397Z</dcterms:modified>
</cp:coreProperties>
</file>

<file path=docProps/custom.xml><?xml version="1.0" encoding="utf-8"?>
<Properties xmlns="http://schemas.openxmlformats.org/officeDocument/2006/custom-properties" xmlns:vt="http://schemas.openxmlformats.org/officeDocument/2006/docPropsVTypes"/>
</file>