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30" w:before="0"/>
        <w:jc w:val="center"/>
      </w:pPr>
      <w:r>
        <w:rPr>
          <w:b/>
          <w:bCs/>
          <w:i w:val="false"/>
          <w:iCs w:val="false"/>
          <w:caps w:val="false"/>
          <w:color w:val="C00000"/>
          <w:sz w:val="20"/>
          <w:szCs w:val="20"/>
        </w:rPr>
        <w:t xml:space="preserve">PRIVATE &amp; CONFIDENTIAL  –  SUBJECT TO CONTRACT</w:t>
      </w:r>
    </w:p>
    <w:p>
      <w:pPr>
        <w:spacing w:after="62" w:before="0"/>
        <w:jc w:val="center"/>
      </w:pPr>
      <w:r>
        <w:rPr>
          <w:b/>
          <w:bCs/>
          <w:i w:val="false"/>
          <w:iCs w:val="false"/>
          <w:caps w:val="false"/>
          <w:sz w:val="34"/>
          <w:szCs w:val="34"/>
        </w:rPr>
        <w:t xml:space="preserve">TERM SHEET</w:t>
      </w:r>
    </w:p>
    <w:p>
      <w:pPr>
        <w:spacing w:after="60" w:before="0"/>
        <w:jc w:val="center"/>
      </w:pPr>
      <w:r>
        <w:rPr>
          <w:b/>
          <w:bCs/>
          <w:i w:val="false"/>
          <w:iCs w:val="false"/>
          <w:caps w:val="false"/>
          <w:sz w:val="22"/>
          <w:szCs w:val="22"/>
        </w:rPr>
        <w:t xml:space="preserve">PROPOSED SERIES B PREFERENCE SHARE INVESTMENT IN LUMINOS AI LTD</w:t>
      </w:r>
    </w:p>
    <w:p>
      <w:pPr>
        <w:spacing w:after="150" w:before="0"/>
        <w:jc w:val="center"/>
      </w:pPr>
      <w:r>
        <w:rPr>
          <w:b w:val="false"/>
          <w:bCs w:val="false"/>
          <w:i/>
          <w:iCs/>
          <w:caps w:val="false"/>
          <w:sz w:val="20"/>
          <w:szCs w:val="20"/>
        </w:rPr>
        <w:t xml:space="preserve">Dated 27 November 2023</w:t>
      </w:r>
    </w:p>
    <w:p>
      <w:pPr>
        <w:spacing w:after="62" w:before="0"/>
        <w:jc w:val="both"/>
      </w:pPr>
      <w:r>
        <w:t xml:space="preserve">This term sheet (the </w:t>
      </w:r>
      <w:r>
        <w:rPr>
          <w:b/>
          <w:bCs/>
        </w:rPr>
        <w:t xml:space="preserve">“Term Sheet”</w:t>
      </w:r>
      <w:r>
        <w:t xml:space="preserve">) summarises the principal terms on which Crestview Capital Partners LLP proposes to make an equity investment in Luminos AI Ltd. It is intended to assist the parties and their advisers in preparing the definitive documentation for the proposed investment. Save for the paragraphs set out under the heading </w:t>
      </w:r>
      <w:r>
        <w:rPr>
          <w:b/>
          <w:bCs/>
        </w:rPr>
        <w:t xml:space="preserve">“Binding Provisions”</w:t>
      </w:r>
      <w:r>
        <w:t xml:space="preserve"> below (which are intended to be, and are, legally binding), this Term Sheet is a summary of intent only, is </w:t>
      </w:r>
      <w:r>
        <w:rPr>
          <w:b/>
          <w:bCs/>
        </w:rPr>
        <w:t xml:space="preserve">subject to contract</w:t>
      </w:r>
      <w:r>
        <w:t xml:space="preserve">, and does not create any legally binding obligation on any party to proceed with or complete the proposed investment. Capitalised terms used but not otherwise defined in this Term Sheet will have the meanings to be given to them in the Definitive Documents.</w:t>
      </w:r>
    </w:p>
    <w:p>
      <w:pPr>
        <w:spacing w:after="130" w:before="120"/>
        <w:jc w:val="both"/>
      </w:pPr>
      <w:r>
        <w:rPr>
          <w:b/>
          <w:bCs/>
        </w:rPr>
        <w:t xml:space="preserve">PRINCIPAL TERMS</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520"/>
        <w:gridCol w:w="6506"/>
      </w:tblGrid>
      <w:tr>
        <w:trPr>
          <w:cantSplit w:val="false"/>
        </w:trPr>
        <w:tc>
          <w:tcPr>
            <w:tcW w:type="dxa" w:w="2520"/>
            <w:shd w:fill="EEF2F6" w:val="clear"/>
            <w:tcMar>
              <w:top w:type="dxa" w:w="56"/>
              <w:left w:type="dxa" w:w="130"/>
              <w:bottom w:type="dxa" w:w="56"/>
              <w:right w:type="dxa" w:w="130"/>
            </w:tcMar>
            <w:vAlign w:val="top"/>
          </w:tcPr>
          <w:p>
            <w:r>
              <w:rPr>
                <w:b/>
                <w:bCs/>
              </w:rPr>
              <w:t xml:space="preserve">Company</w:t>
            </w:r>
          </w:p>
        </w:tc>
        <w:tc>
          <w:tcPr>
            <w:tcW w:type="dxa" w:w="6506"/>
            <w:tcMar>
              <w:top w:type="dxa" w:w="56"/>
              <w:left w:type="dxa" w:w="130"/>
              <w:bottom w:type="dxa" w:w="56"/>
              <w:right w:type="dxa" w:w="130"/>
            </w:tcMar>
            <w:vAlign w:val="top"/>
          </w:tcPr>
          <w:p>
            <w:pPr>
              <w:spacing w:after="30"/>
              <w:jc w:val="both"/>
            </w:pPr>
            <w:r>
              <w:t xml:space="preserve">Luminos AI Ltd, a private company limited by shares incorporated in England and Wales with registered number 12784563 and registered office at Oxford Centre for Innovation, New Road, Oxford OX1 1BY (the </w:t>
            </w:r>
            <w:r>
              <w:rPr>
                <w:b/>
                <w:bCs/>
              </w:rPr>
              <w:t xml:space="preserve">“Company”</w:t>
            </w:r>
            <w:r>
              <w:t xml:space="preserve">).</w:t>
            </w:r>
          </w:p>
        </w:tc>
      </w:tr>
      <w:tr>
        <w:trPr>
          <w:cantSplit w:val="false"/>
        </w:trPr>
        <w:tc>
          <w:tcPr>
            <w:tcW w:type="dxa" w:w="2520"/>
            <w:shd w:fill="EEF2F6" w:val="clear"/>
            <w:tcMar>
              <w:top w:type="dxa" w:w="56"/>
              <w:left w:type="dxa" w:w="130"/>
              <w:bottom w:type="dxa" w:w="56"/>
              <w:right w:type="dxa" w:w="130"/>
            </w:tcMar>
            <w:vAlign w:val="top"/>
          </w:tcPr>
          <w:p>
            <w:r>
              <w:rPr>
                <w:b/>
                <w:bCs/>
              </w:rPr>
              <w:t xml:space="preserve">Founders</w:t>
            </w:r>
          </w:p>
        </w:tc>
        <w:tc>
          <w:tcPr>
            <w:tcW w:type="dxa" w:w="6506"/>
            <w:tcMar>
              <w:top w:type="dxa" w:w="56"/>
              <w:left w:type="dxa" w:w="130"/>
              <w:bottom w:type="dxa" w:w="56"/>
              <w:right w:type="dxa" w:w="130"/>
            </w:tcMar>
            <w:vAlign w:val="top"/>
          </w:tcPr>
          <w:p>
            <w:pPr>
              <w:spacing w:after="30"/>
              <w:jc w:val="both"/>
            </w:pPr>
            <w:r>
              <w:t xml:space="preserve">Dr Priya Anand and Dr Oliver Kessler (each a </w:t>
            </w:r>
            <w:r>
              <w:rPr>
                <w:b/>
                <w:bCs/>
              </w:rPr>
              <w:t xml:space="preserve">“Founder”</w:t>
            </w:r>
            <w:r>
              <w:t xml:space="preserve"> and together the </w:t>
            </w:r>
            <w:r>
              <w:rPr>
                <w:b/>
                <w:bCs/>
              </w:rPr>
              <w:t xml:space="preserve">“Founders”</w:t>
            </w:r>
            <w:r>
              <w:t xml:space="preserve">).</w:t>
            </w:r>
          </w:p>
        </w:tc>
      </w:tr>
      <w:tr>
        <w:trPr>
          <w:cantSplit w:val="false"/>
        </w:trPr>
        <w:tc>
          <w:tcPr>
            <w:tcW w:type="dxa" w:w="2520"/>
            <w:shd w:fill="EEF2F6" w:val="clear"/>
            <w:tcMar>
              <w:top w:type="dxa" w:w="56"/>
              <w:left w:type="dxa" w:w="130"/>
              <w:bottom w:type="dxa" w:w="56"/>
              <w:right w:type="dxa" w:w="130"/>
            </w:tcMar>
            <w:vAlign w:val="top"/>
          </w:tcPr>
          <w:p>
            <w:r>
              <w:rPr>
                <w:b/>
                <w:bCs/>
              </w:rPr>
              <w:t xml:space="preserve">Lead Investor</w:t>
            </w:r>
          </w:p>
        </w:tc>
        <w:tc>
          <w:tcPr>
            <w:tcW w:type="dxa" w:w="6506"/>
            <w:tcMar>
              <w:top w:type="dxa" w:w="56"/>
              <w:left w:type="dxa" w:w="130"/>
              <w:bottom w:type="dxa" w:w="56"/>
              <w:right w:type="dxa" w:w="130"/>
            </w:tcMar>
            <w:vAlign w:val="top"/>
          </w:tcPr>
          <w:p>
            <w:pPr>
              <w:spacing w:after="30"/>
              <w:jc w:val="both"/>
            </w:pPr>
            <w:r>
              <w:t xml:space="preserve">Crestview Capital Partners LLP (the </w:t>
            </w:r>
            <w:r>
              <w:rPr>
                <w:b/>
                <w:bCs/>
              </w:rPr>
              <w:t xml:space="preserve">“Investor”</w:t>
            </w:r>
            <w:r>
              <w:t xml:space="preserve"> or </w:t>
            </w:r>
            <w:r>
              <w:rPr>
                <w:b/>
                <w:bCs/>
              </w:rPr>
              <w:t xml:space="preserve">“Crestview”</w:t>
            </w:r>
            <w:r>
              <w:t xml:space="preserve">). The Investor will lead, and will be the sole subscriber in, the Series B Round.</w:t>
            </w:r>
          </w:p>
        </w:tc>
      </w:tr>
      <w:tr>
        <w:trPr>
          <w:cantSplit w:val="false"/>
        </w:trPr>
        <w:tc>
          <w:tcPr>
            <w:tcW w:type="dxa" w:w="2520"/>
            <w:shd w:fill="EEF2F6" w:val="clear"/>
            <w:tcMar>
              <w:top w:type="dxa" w:w="56"/>
              <w:left w:type="dxa" w:w="130"/>
              <w:bottom w:type="dxa" w:w="56"/>
              <w:right w:type="dxa" w:w="130"/>
            </w:tcMar>
            <w:vAlign w:val="top"/>
          </w:tcPr>
          <w:p>
            <w:r>
              <w:rPr>
                <w:b/>
                <w:bCs/>
              </w:rPr>
              <w:t xml:space="preserve">Transaction</w:t>
            </w:r>
          </w:p>
        </w:tc>
        <w:tc>
          <w:tcPr>
            <w:tcW w:type="dxa" w:w="6506"/>
            <w:tcMar>
              <w:top w:type="dxa" w:w="56"/>
              <w:left w:type="dxa" w:w="130"/>
              <w:bottom w:type="dxa" w:w="56"/>
              <w:right w:type="dxa" w:w="130"/>
            </w:tcMar>
            <w:vAlign w:val="top"/>
          </w:tcPr>
          <w:p>
            <w:pPr>
              <w:spacing w:after="30"/>
              <w:jc w:val="both"/>
            </w:pPr>
            <w:r>
              <w:t xml:space="preserve">Subscription by the Investor for newly issued Series B Preference Shares in the Company (the </w:t>
            </w:r>
            <w:r>
              <w:rPr>
                <w:b/>
                <w:bCs/>
              </w:rPr>
              <w:t xml:space="preserve">“Series B Round”</w:t>
            </w:r>
            <w:r>
              <w:t xml:space="preserve"> or the </w:t>
            </w:r>
            <w:r>
              <w:rPr>
                <w:b/>
                <w:bCs/>
              </w:rPr>
              <w:t xml:space="preserve">“Proposed Transaction”</w:t>
            </w:r>
            <w:r>
              <w:t xml:space="preserve">).</w:t>
            </w:r>
          </w:p>
        </w:tc>
      </w:tr>
      <w:tr>
        <w:trPr>
          <w:cantSplit w:val="false"/>
        </w:trPr>
        <w:tc>
          <w:tcPr>
            <w:tcW w:type="dxa" w:w="2520"/>
            <w:shd w:fill="EEF2F6" w:val="clear"/>
            <w:tcMar>
              <w:top w:type="dxa" w:w="56"/>
              <w:left w:type="dxa" w:w="130"/>
              <w:bottom w:type="dxa" w:w="56"/>
              <w:right w:type="dxa" w:w="130"/>
            </w:tcMar>
            <w:vAlign w:val="top"/>
          </w:tcPr>
          <w:p>
            <w:r>
              <w:rPr>
                <w:b/>
                <w:bCs/>
              </w:rPr>
              <w:t xml:space="preserve">Investment Amount</w:t>
            </w:r>
          </w:p>
        </w:tc>
        <w:tc>
          <w:tcPr>
            <w:tcW w:type="dxa" w:w="6506"/>
            <w:tcMar>
              <w:top w:type="dxa" w:w="56"/>
              <w:left w:type="dxa" w:w="130"/>
              <w:bottom w:type="dxa" w:w="56"/>
              <w:right w:type="dxa" w:w="130"/>
            </w:tcMar>
            <w:vAlign w:val="top"/>
          </w:tcPr>
          <w:p>
            <w:pPr>
              <w:spacing w:after="30"/>
              <w:jc w:val="both"/>
            </w:pPr>
            <w:r>
              <w:t xml:space="preserve">£12,000,000 in cash, payable in full at Completion.</w:t>
            </w:r>
          </w:p>
        </w:tc>
      </w:tr>
      <w:tr>
        <w:trPr>
          <w:cantSplit w:val="false"/>
        </w:trPr>
        <w:tc>
          <w:tcPr>
            <w:tcW w:type="dxa" w:w="2520"/>
            <w:shd w:fill="EEF2F6" w:val="clear"/>
            <w:tcMar>
              <w:top w:type="dxa" w:w="56"/>
              <w:left w:type="dxa" w:w="130"/>
              <w:bottom w:type="dxa" w:w="56"/>
              <w:right w:type="dxa" w:w="130"/>
            </w:tcMar>
            <w:vAlign w:val="top"/>
          </w:tcPr>
          <w:p>
            <w:r>
              <w:rPr>
                <w:b/>
                <w:bCs/>
              </w:rPr>
              <w:t xml:space="preserve">Pre-Money Valuation</w:t>
            </w:r>
          </w:p>
        </w:tc>
        <w:tc>
          <w:tcPr>
            <w:tcW w:type="dxa" w:w="6506"/>
            <w:tcMar>
              <w:top w:type="dxa" w:w="56"/>
              <w:left w:type="dxa" w:w="130"/>
              <w:bottom w:type="dxa" w:w="56"/>
              <w:right w:type="dxa" w:w="130"/>
            </w:tcMar>
            <w:vAlign w:val="top"/>
          </w:tcPr>
          <w:p>
            <w:pPr>
              <w:spacing w:after="30"/>
              <w:jc w:val="both"/>
            </w:pPr>
            <w:r>
              <w:t xml:space="preserve">£40,000,000, calculated on a fully-diluted basis and inclusive of the Enlarged Option Pool referred to below.</w:t>
            </w:r>
          </w:p>
        </w:tc>
      </w:tr>
      <w:tr>
        <w:trPr>
          <w:cantSplit w:val="false"/>
        </w:trPr>
        <w:tc>
          <w:tcPr>
            <w:tcW w:type="dxa" w:w="2520"/>
            <w:shd w:fill="EEF2F6" w:val="clear"/>
            <w:tcMar>
              <w:top w:type="dxa" w:w="56"/>
              <w:left w:type="dxa" w:w="130"/>
              <w:bottom w:type="dxa" w:w="56"/>
              <w:right w:type="dxa" w:w="130"/>
            </w:tcMar>
            <w:vAlign w:val="top"/>
          </w:tcPr>
          <w:p>
            <w:r>
              <w:rPr>
                <w:b/>
                <w:bCs/>
              </w:rPr>
              <w:t xml:space="preserve">Post-Money Valuation</w:t>
            </w:r>
          </w:p>
        </w:tc>
        <w:tc>
          <w:tcPr>
            <w:tcW w:type="dxa" w:w="6506"/>
            <w:tcMar>
              <w:top w:type="dxa" w:w="56"/>
              <w:left w:type="dxa" w:w="130"/>
              <w:bottom w:type="dxa" w:w="56"/>
              <w:right w:type="dxa" w:w="130"/>
            </w:tcMar>
            <w:vAlign w:val="top"/>
          </w:tcPr>
          <w:p>
            <w:pPr>
              <w:spacing w:after="30"/>
              <w:jc w:val="both"/>
            </w:pPr>
            <w:r>
              <w:t xml:space="preserve">£52,000,000.</w:t>
            </w:r>
          </w:p>
        </w:tc>
      </w:tr>
      <w:tr>
        <w:trPr>
          <w:cantSplit w:val="false"/>
        </w:trPr>
        <w:tc>
          <w:tcPr>
            <w:tcW w:type="dxa" w:w="2520"/>
            <w:shd w:fill="EEF2F6" w:val="clear"/>
            <w:tcMar>
              <w:top w:type="dxa" w:w="56"/>
              <w:left w:type="dxa" w:w="130"/>
              <w:bottom w:type="dxa" w:w="56"/>
              <w:right w:type="dxa" w:w="130"/>
            </w:tcMar>
            <w:vAlign w:val="top"/>
          </w:tcPr>
          <w:p>
            <w:r>
              <w:rPr>
                <w:b/>
                <w:bCs/>
              </w:rPr>
              <w:t xml:space="preserve">Securities</w:t>
            </w:r>
          </w:p>
        </w:tc>
        <w:tc>
          <w:tcPr>
            <w:tcW w:type="dxa" w:w="6506"/>
            <w:tcMar>
              <w:top w:type="dxa" w:w="56"/>
              <w:left w:type="dxa" w:w="130"/>
              <w:bottom w:type="dxa" w:w="56"/>
              <w:right w:type="dxa" w:w="130"/>
            </w:tcMar>
            <w:vAlign w:val="top"/>
          </w:tcPr>
          <w:p>
            <w:pPr>
              <w:spacing w:after="30"/>
              <w:jc w:val="both"/>
            </w:pPr>
            <w:r>
              <w:t xml:space="preserve">Series B Preference Shares of £0.0001 each in the capital of the Company (the </w:t>
            </w:r>
            <w:r>
              <w:rPr>
                <w:b/>
                <w:bCs/>
              </w:rPr>
              <w:t xml:space="preserve">“Series B Shares”</w:t>
            </w:r>
            <w:r>
              <w:t xml:space="preserve">), having the rights summarised in this Term Sheet and to be set out in full in the New Articles.</w:t>
            </w:r>
          </w:p>
        </w:tc>
      </w:tr>
      <w:tr>
        <w:trPr>
          <w:cantSplit w:val="false"/>
        </w:trPr>
        <w:tc>
          <w:tcPr>
            <w:tcW w:type="dxa" w:w="2520"/>
            <w:shd w:fill="EEF2F6" w:val="clear"/>
            <w:tcMar>
              <w:top w:type="dxa" w:w="56"/>
              <w:left w:type="dxa" w:w="130"/>
              <w:bottom w:type="dxa" w:w="56"/>
              <w:right w:type="dxa" w:w="130"/>
            </w:tcMar>
            <w:vAlign w:val="top"/>
          </w:tcPr>
          <w:p>
            <w:r>
              <w:rPr>
                <w:b/>
                <w:bCs/>
              </w:rPr>
              <w:t xml:space="preserve">Issue Price</w:t>
            </w:r>
          </w:p>
        </w:tc>
        <w:tc>
          <w:tcPr>
            <w:tcW w:type="dxa" w:w="6506"/>
            <w:tcMar>
              <w:top w:type="dxa" w:w="56"/>
              <w:left w:type="dxa" w:w="130"/>
              <w:bottom w:type="dxa" w:w="56"/>
              <w:right w:type="dxa" w:w="130"/>
            </w:tcMar>
            <w:vAlign w:val="top"/>
          </w:tcPr>
          <w:p>
            <w:pPr>
              <w:spacing w:after="30"/>
              <w:jc w:val="both"/>
            </w:pPr>
            <w:r>
              <w:t xml:space="preserve">£4.00 per Series B Share (the </w:t>
            </w:r>
            <w:r>
              <w:rPr>
                <w:b/>
                <w:bCs/>
              </w:rPr>
              <w:t xml:space="preserve">“Issue Price”</w:t>
            </w:r>
            <w:r>
              <w:t xml:space="preserve">), comprising £0.0001 of nominal value and £3.9999 of share premium.</w:t>
            </w:r>
          </w:p>
        </w:tc>
      </w:tr>
      <w:tr>
        <w:trPr>
          <w:cantSplit w:val="false"/>
        </w:trPr>
        <w:tc>
          <w:tcPr>
            <w:tcW w:type="dxa" w:w="2520"/>
            <w:shd w:fill="EEF2F6" w:val="clear"/>
            <w:tcMar>
              <w:top w:type="dxa" w:w="56"/>
              <w:left w:type="dxa" w:w="130"/>
              <w:bottom w:type="dxa" w:w="56"/>
              <w:right w:type="dxa" w:w="130"/>
            </w:tcMar>
            <w:vAlign w:val="top"/>
          </w:tcPr>
          <w:p>
            <w:r>
              <w:rPr>
                <w:b/>
                <w:bCs/>
              </w:rPr>
              <w:t xml:space="preserve">Number of Shares</w:t>
            </w:r>
          </w:p>
        </w:tc>
        <w:tc>
          <w:tcPr>
            <w:tcW w:type="dxa" w:w="6506"/>
            <w:tcMar>
              <w:top w:type="dxa" w:w="56"/>
              <w:left w:type="dxa" w:w="130"/>
              <w:bottom w:type="dxa" w:w="56"/>
              <w:right w:type="dxa" w:w="130"/>
            </w:tcMar>
            <w:vAlign w:val="top"/>
          </w:tcPr>
          <w:p>
            <w:pPr>
              <w:spacing w:after="30"/>
              <w:jc w:val="both"/>
            </w:pPr>
            <w:r>
              <w:t xml:space="preserve">3,000,000 Series B Shares to be issued at Completion.</w:t>
            </w:r>
          </w:p>
        </w:tc>
      </w:tr>
      <w:tr>
        <w:trPr>
          <w:cantSplit w:val="false"/>
        </w:trPr>
        <w:tc>
          <w:tcPr>
            <w:tcW w:type="dxa" w:w="2520"/>
            <w:shd w:fill="EEF2F6" w:val="clear"/>
            <w:tcMar>
              <w:top w:type="dxa" w:w="56"/>
              <w:left w:type="dxa" w:w="130"/>
              <w:bottom w:type="dxa" w:w="56"/>
              <w:right w:type="dxa" w:w="130"/>
            </w:tcMar>
            <w:vAlign w:val="top"/>
          </w:tcPr>
          <w:p>
            <w:r>
              <w:rPr>
                <w:b/>
                <w:bCs/>
              </w:rPr>
              <w:t xml:space="preserve">Resulting Shareholding</w:t>
            </w:r>
          </w:p>
        </w:tc>
        <w:tc>
          <w:tcPr>
            <w:tcW w:type="dxa" w:w="6506"/>
            <w:tcMar>
              <w:top w:type="dxa" w:w="56"/>
              <w:left w:type="dxa" w:w="130"/>
              <w:bottom w:type="dxa" w:w="56"/>
              <w:right w:type="dxa" w:w="130"/>
            </w:tcMar>
            <w:vAlign w:val="top"/>
          </w:tcPr>
          <w:p>
            <w:pPr>
              <w:spacing w:after="30"/>
              <w:jc w:val="both"/>
            </w:pPr>
            <w:r>
              <w:t xml:space="preserve">Immediately following Completion the Investor will hold approximately 23.1% of the fully-diluted share capital of the Company.</w:t>
            </w:r>
          </w:p>
        </w:tc>
      </w:tr>
      <w:tr>
        <w:trPr>
          <w:cantSplit w:val="false"/>
        </w:trPr>
        <w:tc>
          <w:tcPr>
            <w:tcW w:type="dxa" w:w="2520"/>
            <w:shd w:fill="EEF2F6" w:val="clear"/>
            <w:tcMar>
              <w:top w:type="dxa" w:w="56"/>
              <w:left w:type="dxa" w:w="130"/>
              <w:bottom w:type="dxa" w:w="56"/>
              <w:right w:type="dxa" w:w="130"/>
            </w:tcMar>
            <w:vAlign w:val="top"/>
          </w:tcPr>
          <w:p>
            <w:r>
              <w:rPr>
                <w:b/>
                <w:bCs/>
              </w:rPr>
              <w:t xml:space="preserve">Enlarged Option Pool</w:t>
            </w:r>
          </w:p>
        </w:tc>
        <w:tc>
          <w:tcPr>
            <w:tcW w:type="dxa" w:w="6506"/>
            <w:tcMar>
              <w:top w:type="dxa" w:w="56"/>
              <w:left w:type="dxa" w:w="130"/>
              <w:bottom w:type="dxa" w:w="56"/>
              <w:right w:type="dxa" w:w="130"/>
            </w:tcMar>
            <w:vAlign w:val="top"/>
          </w:tcPr>
          <w:p>
            <w:pPr>
              <w:spacing w:after="30"/>
              <w:jc w:val="both"/>
            </w:pPr>
            <w:r>
              <w:t xml:space="preserve">Prior to Completion the Company’s employee share option pool will be increased so that options available for grant represent 12% of the fully-diluted share capital of the Company immediately following Completion (the </w:t>
            </w:r>
            <w:r>
              <w:rPr>
                <w:b/>
                <w:bCs/>
              </w:rPr>
              <w:t xml:space="preserve">“Enlarged Option Pool”</w:t>
            </w:r>
            <w:r>
              <w:t xml:space="preserve">). The increase will be effected on a pre-money basis and will accordingly dilute the existing shareholders (including the Founders) but not the Investor.</w:t>
            </w:r>
          </w:p>
        </w:tc>
      </w:tr>
      <w:tr>
        <w:trPr>
          <w:cantSplit w:val="false"/>
        </w:trPr>
        <w:tc>
          <w:tcPr>
            <w:tcW w:type="dxa" w:w="2520"/>
            <w:shd w:fill="EEF2F6" w:val="clear"/>
            <w:tcMar>
              <w:top w:type="dxa" w:w="56"/>
              <w:left w:type="dxa" w:w="130"/>
              <w:bottom w:type="dxa" w:w="56"/>
              <w:right w:type="dxa" w:w="130"/>
            </w:tcMar>
            <w:vAlign w:val="top"/>
          </w:tcPr>
          <w:p>
            <w:r>
              <w:rPr>
                <w:b/>
                <w:bCs/>
              </w:rPr>
              <w:t xml:space="preserve">Use of Proceeds</w:t>
            </w:r>
          </w:p>
        </w:tc>
        <w:tc>
          <w:tcPr>
            <w:tcW w:type="dxa" w:w="6506"/>
            <w:tcMar>
              <w:top w:type="dxa" w:w="56"/>
              <w:left w:type="dxa" w:w="130"/>
              <w:bottom w:type="dxa" w:w="56"/>
              <w:right w:type="dxa" w:w="130"/>
            </w:tcMar>
            <w:vAlign w:val="top"/>
          </w:tcPr>
          <w:p>
            <w:pPr>
              <w:spacing w:after="30"/>
              <w:jc w:val="both"/>
            </w:pPr>
            <w:r>
              <w:t xml:space="preserve">The proceeds of the Series B Round will be applied towards expansion of the Company’s engineering and research team, commercial scale-up and go-to-market activities, and general working capital, in each case in accordance with the budget approved by the Board.</w:t>
            </w:r>
          </w:p>
        </w:tc>
      </w:tr>
      <w:tr>
        <w:trPr>
          <w:cantSplit w:val="false"/>
        </w:trPr>
        <w:tc>
          <w:tcPr>
            <w:tcW w:type="dxa" w:w="2520"/>
            <w:shd w:fill="EEF2F6" w:val="clear"/>
            <w:tcMar>
              <w:top w:type="dxa" w:w="56"/>
              <w:left w:type="dxa" w:w="130"/>
              <w:bottom w:type="dxa" w:w="56"/>
              <w:right w:type="dxa" w:w="130"/>
            </w:tcMar>
            <w:vAlign w:val="top"/>
          </w:tcPr>
          <w:p>
            <w:r>
              <w:rPr>
                <w:b/>
                <w:bCs/>
              </w:rPr>
              <w:t xml:space="preserve">Liquidation Preference</w:t>
            </w:r>
          </w:p>
        </w:tc>
        <w:tc>
          <w:tcPr>
            <w:tcW w:type="dxa" w:w="6506"/>
            <w:tcMar>
              <w:top w:type="dxa" w:w="56"/>
              <w:left w:type="dxa" w:w="130"/>
              <w:bottom w:type="dxa" w:w="56"/>
              <w:right w:type="dxa" w:w="130"/>
            </w:tcMar>
            <w:vAlign w:val="top"/>
          </w:tcPr>
          <w:p>
            <w:pPr>
              <w:spacing w:after="30"/>
              <w:jc w:val="both"/>
            </w:pPr>
            <w:r>
              <w:t xml:space="preserve">On a Liquidation Event, each holder of Series B Shares will be entitled to receive, in priority to the holders of ordinary shares, the greater of (a) an amount equal to one times (1x) the Issue Price for each Series B Share held (plus any declared but unpaid dividends), and (b) the amount it would have received in respect of those shares had they converted into ordinary shares immediately before the Liquidation Event. The Series B Shares are </w:t>
            </w:r>
            <w:r>
              <w:rPr>
                <w:b/>
                <w:bCs/>
              </w:rPr>
              <w:t xml:space="preserve">non-participating</w:t>
            </w:r>
            <w:r>
              <w:t xml:space="preserve">. </w:t>
            </w:r>
            <w:r>
              <w:rPr>
                <w:b/>
                <w:bCs/>
              </w:rPr>
              <w:t xml:space="preserve">“Liquidation Event”</w:t>
            </w:r>
            <w:r>
              <w:t xml:space="preserve"> includes a return of capital on a winding-up, a Share Sale and an Asset Sale.</w:t>
            </w:r>
          </w:p>
        </w:tc>
      </w:tr>
      <w:tr>
        <w:trPr>
          <w:cantSplit w:val="false"/>
        </w:trPr>
        <w:tc>
          <w:tcPr>
            <w:tcW w:type="dxa" w:w="2520"/>
            <w:shd w:fill="EEF2F6" w:val="clear"/>
            <w:tcMar>
              <w:top w:type="dxa" w:w="56"/>
              <w:left w:type="dxa" w:w="130"/>
              <w:bottom w:type="dxa" w:w="56"/>
              <w:right w:type="dxa" w:w="130"/>
            </w:tcMar>
            <w:vAlign w:val="top"/>
          </w:tcPr>
          <w:p>
            <w:r>
              <w:rPr>
                <w:b/>
                <w:bCs/>
              </w:rPr>
              <w:t xml:space="preserve">Conversion</w:t>
            </w:r>
          </w:p>
        </w:tc>
        <w:tc>
          <w:tcPr>
            <w:tcW w:type="dxa" w:w="6506"/>
            <w:tcMar>
              <w:top w:type="dxa" w:w="56"/>
              <w:left w:type="dxa" w:w="130"/>
              <w:bottom w:type="dxa" w:w="56"/>
              <w:right w:type="dxa" w:w="130"/>
            </w:tcMar>
            <w:vAlign w:val="top"/>
          </w:tcPr>
          <w:p>
            <w:pPr>
              <w:spacing w:after="30"/>
              <w:jc w:val="both"/>
            </w:pPr>
            <w:r>
              <w:t xml:space="preserve">Each Series B Share is convertible into ordinary shares at the option of the holder at any time, initially on a one-for-one basis (subject to adjustment for anti-dilution and customary corporate events). All Series B Shares convert automatically into ordinary shares on a Qualifying IPO or on written notice from holders of a majority of the Series B Shares (a “Series B Majority”).</w:t>
            </w:r>
          </w:p>
        </w:tc>
      </w:tr>
      <w:tr>
        <w:trPr>
          <w:cantSplit w:val="false"/>
        </w:trPr>
        <w:tc>
          <w:tcPr>
            <w:tcW w:type="dxa" w:w="2520"/>
            <w:shd w:fill="EEF2F6" w:val="clear"/>
            <w:tcMar>
              <w:top w:type="dxa" w:w="56"/>
              <w:left w:type="dxa" w:w="130"/>
              <w:bottom w:type="dxa" w:w="56"/>
              <w:right w:type="dxa" w:w="130"/>
            </w:tcMar>
            <w:vAlign w:val="top"/>
          </w:tcPr>
          <w:p>
            <w:r>
              <w:rPr>
                <w:b/>
                <w:bCs/>
              </w:rPr>
              <w:t xml:space="preserve">Anti-Dilution</w:t>
            </w:r>
          </w:p>
        </w:tc>
        <w:tc>
          <w:tcPr>
            <w:tcW w:type="dxa" w:w="6506"/>
            <w:tcMar>
              <w:top w:type="dxa" w:w="56"/>
              <w:left w:type="dxa" w:w="130"/>
              <w:bottom w:type="dxa" w:w="56"/>
              <w:right w:type="dxa" w:w="130"/>
            </w:tcMar>
            <w:vAlign w:val="top"/>
          </w:tcPr>
          <w:p>
            <w:pPr>
              <w:spacing w:after="30"/>
              <w:jc w:val="both"/>
            </w:pPr>
            <w:r>
              <w:t xml:space="preserve">If the Company issues new shares at a price per share lower than the Issue Price (a “Down Round”), the conversion rate of the Series B Shares will be adjusted on a broad-based weighted average basis. Customary exceptions apply, including issues of options and shares under the Enlarged Option Pool, shares issued on conversion of the Series B Shares, and other issues approved by a Series B Majority.</w:t>
            </w:r>
          </w:p>
        </w:tc>
      </w:tr>
      <w:tr>
        <w:trPr>
          <w:cantSplit w:val="false"/>
        </w:trPr>
        <w:tc>
          <w:tcPr>
            <w:tcW w:type="dxa" w:w="2520"/>
            <w:shd w:fill="EEF2F6" w:val="clear"/>
            <w:tcMar>
              <w:top w:type="dxa" w:w="56"/>
              <w:left w:type="dxa" w:w="130"/>
              <w:bottom w:type="dxa" w:w="56"/>
              <w:right w:type="dxa" w:w="130"/>
            </w:tcMar>
            <w:vAlign w:val="top"/>
          </w:tcPr>
          <w:p>
            <w:r>
              <w:rPr>
                <w:b/>
                <w:bCs/>
              </w:rPr>
              <w:t xml:space="preserve">Dividends</w:t>
            </w:r>
          </w:p>
        </w:tc>
        <w:tc>
          <w:tcPr>
            <w:tcW w:type="dxa" w:w="6506"/>
            <w:tcMar>
              <w:top w:type="dxa" w:w="56"/>
              <w:left w:type="dxa" w:w="130"/>
              <w:bottom w:type="dxa" w:w="56"/>
              <w:right w:type="dxa" w:w="130"/>
            </w:tcMar>
            <w:vAlign w:val="top"/>
          </w:tcPr>
          <w:p>
            <w:pPr>
              <w:spacing w:after="30"/>
              <w:jc w:val="both"/>
            </w:pPr>
            <w:r>
              <w:t xml:space="preserve">The Series B Shares carry no fixed or cumulative dividend. Any dividend declared by the Company will be paid to the holders of Series B Shares and ordinary shares pari passu on an as-converted basis.</w:t>
            </w:r>
          </w:p>
        </w:tc>
      </w:tr>
      <w:tr>
        <w:trPr>
          <w:cantSplit w:val="false"/>
        </w:trPr>
        <w:tc>
          <w:tcPr>
            <w:tcW w:type="dxa" w:w="2520"/>
            <w:shd w:fill="EEF2F6" w:val="clear"/>
            <w:tcMar>
              <w:top w:type="dxa" w:w="56"/>
              <w:left w:type="dxa" w:w="130"/>
              <w:bottom w:type="dxa" w:w="56"/>
              <w:right w:type="dxa" w:w="130"/>
            </w:tcMar>
            <w:vAlign w:val="top"/>
          </w:tcPr>
          <w:p>
            <w:r>
              <w:rPr>
                <w:b/>
                <w:bCs/>
              </w:rPr>
              <w:t xml:space="preserve">Voting Rights</w:t>
            </w:r>
          </w:p>
        </w:tc>
        <w:tc>
          <w:tcPr>
            <w:tcW w:type="dxa" w:w="6506"/>
            <w:tcMar>
              <w:top w:type="dxa" w:w="56"/>
              <w:left w:type="dxa" w:w="130"/>
              <w:bottom w:type="dxa" w:w="56"/>
              <w:right w:type="dxa" w:w="130"/>
            </w:tcMar>
            <w:vAlign w:val="top"/>
          </w:tcPr>
          <w:p>
            <w:pPr>
              <w:spacing w:after="30"/>
              <w:jc w:val="both"/>
            </w:pPr>
            <w:r>
              <w:t xml:space="preserve">The Series B Shares carry the right to vote at general meetings, voting together with the ordinary shares as a single class on an as-converted basis, in addition to the class consent rights and Reserved Matter protections referred to below.</w:t>
            </w:r>
          </w:p>
        </w:tc>
      </w:tr>
      <w:tr>
        <w:trPr>
          <w:cantSplit w:val="false"/>
        </w:trPr>
        <w:tc>
          <w:tcPr>
            <w:tcW w:type="dxa" w:w="2520"/>
            <w:shd w:fill="EEF2F6" w:val="clear"/>
            <w:tcMar>
              <w:top w:type="dxa" w:w="56"/>
              <w:left w:type="dxa" w:w="130"/>
              <w:bottom w:type="dxa" w:w="56"/>
              <w:right w:type="dxa" w:w="130"/>
            </w:tcMar>
            <w:vAlign w:val="top"/>
          </w:tcPr>
          <w:p>
            <w:r>
              <w:rPr>
                <w:b/>
                <w:bCs/>
              </w:rPr>
              <w:t xml:space="preserve">Board of Directors</w:t>
            </w:r>
          </w:p>
        </w:tc>
        <w:tc>
          <w:tcPr>
            <w:tcW w:type="dxa" w:w="6506"/>
            <w:tcMar>
              <w:top w:type="dxa" w:w="56"/>
              <w:left w:type="dxa" w:w="130"/>
              <w:bottom w:type="dxa" w:w="56"/>
              <w:right w:type="dxa" w:w="130"/>
            </w:tcMar>
            <w:vAlign w:val="top"/>
          </w:tcPr>
          <w:p>
            <w:pPr>
              <w:spacing w:after="30"/>
              <w:jc w:val="both"/>
            </w:pPr>
            <w:r>
              <w:t xml:space="preserve">Following Completion the Board will comprise no more than five directors: (a) two directors appointed by the Founders (the “Founder Directors”); (b) one director appointed and removable by the Investor (the “Investor Director”); and (c) up to two further directors (which may include an independent director) appointed in accordance with the New Articles. The Investor Director will initially be Margaret Holloway. The Investor will also be entitled to appoint one non-voting board observer.</w:t>
            </w:r>
          </w:p>
        </w:tc>
      </w:tr>
      <w:tr>
        <w:trPr>
          <w:cantSplit w:val="false"/>
        </w:trPr>
        <w:tc>
          <w:tcPr>
            <w:tcW w:type="dxa" w:w="2520"/>
            <w:shd w:fill="EEF2F6" w:val="clear"/>
            <w:tcMar>
              <w:top w:type="dxa" w:w="56"/>
              <w:left w:type="dxa" w:w="130"/>
              <w:bottom w:type="dxa" w:w="56"/>
              <w:right w:type="dxa" w:w="130"/>
            </w:tcMar>
            <w:vAlign w:val="top"/>
          </w:tcPr>
          <w:p>
            <w:r>
              <w:rPr>
                <w:b/>
                <w:bCs/>
              </w:rPr>
              <w:t xml:space="preserve">Reserved Matters</w:t>
            </w:r>
          </w:p>
        </w:tc>
        <w:tc>
          <w:tcPr>
            <w:tcW w:type="dxa" w:w="6506"/>
            <w:tcMar>
              <w:top w:type="dxa" w:w="56"/>
              <w:left w:type="dxa" w:w="130"/>
              <w:bottom w:type="dxa" w:w="56"/>
              <w:right w:type="dxa" w:w="130"/>
            </w:tcMar>
            <w:vAlign w:val="top"/>
          </w:tcPr>
          <w:p>
            <w:pPr>
              <w:spacing w:after="30"/>
              <w:jc w:val="both"/>
            </w:pPr>
            <w:r>
              <w:t xml:space="preserve">Certain matters will require the prior written consent of the Investor (or of the Investor Director), including: any change to the Company’s share capital or to the rights attaching to any class of shares; any amendment to the Company’s articles of association; the creation of any borrowing or security above an agreed threshold; any sale, listing or winding-up of the Company; the approval or material amendment of the annual budget; any material related-party transaction; and the appointment, removal or material change to the terms of any senior employee. The full list of Reserved Matters will be set out in the Subscription and Shareholders’ Agreement.</w:t>
            </w:r>
          </w:p>
        </w:tc>
      </w:tr>
      <w:tr>
        <w:trPr>
          <w:cantSplit w:val="false"/>
        </w:trPr>
        <w:tc>
          <w:tcPr>
            <w:tcW w:type="dxa" w:w="2520"/>
            <w:shd w:fill="EEF2F6" w:val="clear"/>
            <w:tcMar>
              <w:top w:type="dxa" w:w="56"/>
              <w:left w:type="dxa" w:w="130"/>
              <w:bottom w:type="dxa" w:w="56"/>
              <w:right w:type="dxa" w:w="130"/>
            </w:tcMar>
            <w:vAlign w:val="top"/>
          </w:tcPr>
          <w:p>
            <w:r>
              <w:rPr>
                <w:b/>
                <w:bCs/>
              </w:rPr>
              <w:t xml:space="preserve">Information Rights</w:t>
            </w:r>
          </w:p>
        </w:tc>
        <w:tc>
          <w:tcPr>
            <w:tcW w:type="dxa" w:w="6506"/>
            <w:tcMar>
              <w:top w:type="dxa" w:w="56"/>
              <w:left w:type="dxa" w:w="130"/>
              <w:bottom w:type="dxa" w:w="56"/>
              <w:right w:type="dxa" w:w="130"/>
            </w:tcMar>
            <w:vAlign w:val="top"/>
          </w:tcPr>
          <w:p>
            <w:pPr>
              <w:spacing w:after="30"/>
              <w:jc w:val="both"/>
            </w:pPr>
            <w:r>
              <w:t xml:space="preserve">The Company will provide the Investor with: (a) monthly management accounts within 21 days of each month-end; (b) a quarterly board pack; (c) audited annual accounts within six months of each financial year-end; and (d) an annual budget at least 30 days before the start of each financial year. The Investor will also have reasonable rights of inspection on prior written notice.</w:t>
            </w:r>
          </w:p>
        </w:tc>
      </w:tr>
      <w:tr>
        <w:trPr>
          <w:cantSplit w:val="false"/>
        </w:trPr>
        <w:tc>
          <w:tcPr>
            <w:tcW w:type="dxa" w:w="2520"/>
            <w:shd w:fill="EEF2F6" w:val="clear"/>
            <w:tcMar>
              <w:top w:type="dxa" w:w="56"/>
              <w:left w:type="dxa" w:w="130"/>
              <w:bottom w:type="dxa" w:w="56"/>
              <w:right w:type="dxa" w:w="130"/>
            </w:tcMar>
            <w:vAlign w:val="top"/>
          </w:tcPr>
          <w:p>
            <w:r>
              <w:rPr>
                <w:b/>
                <w:bCs/>
              </w:rPr>
              <w:t xml:space="preserve">Pre-emption Rights</w:t>
            </w:r>
          </w:p>
        </w:tc>
        <w:tc>
          <w:tcPr>
            <w:tcW w:type="dxa" w:w="6506"/>
            <w:tcMar>
              <w:top w:type="dxa" w:w="56"/>
              <w:left w:type="dxa" w:w="130"/>
              <w:bottom w:type="dxa" w:w="56"/>
              <w:right w:type="dxa" w:w="130"/>
            </w:tcMar>
            <w:vAlign w:val="top"/>
          </w:tcPr>
          <w:p>
            <w:pPr>
              <w:spacing w:after="30"/>
              <w:jc w:val="both"/>
            </w:pPr>
            <w:r>
              <w:t xml:space="preserve">The Investor will have a pro rata right to subscribe for new shares proposed to be issued by the Company (other than under customary excluded issues) so as to enable it to maintain its percentage shareholding.</w:t>
            </w:r>
          </w:p>
        </w:tc>
      </w:tr>
      <w:tr>
        <w:trPr>
          <w:cantSplit w:val="false"/>
        </w:trPr>
        <w:tc>
          <w:tcPr>
            <w:tcW w:type="dxa" w:w="2520"/>
            <w:shd w:fill="EEF2F6" w:val="clear"/>
            <w:tcMar>
              <w:top w:type="dxa" w:w="56"/>
              <w:left w:type="dxa" w:w="130"/>
              <w:bottom w:type="dxa" w:w="56"/>
              <w:right w:type="dxa" w:w="130"/>
            </w:tcMar>
            <w:vAlign w:val="top"/>
          </w:tcPr>
          <w:p>
            <w:r>
              <w:rPr>
                <w:b/>
                <w:bCs/>
              </w:rPr>
              <w:t xml:space="preserve">Transfer Restrictions; ROFR</w:t>
            </w:r>
          </w:p>
        </w:tc>
        <w:tc>
          <w:tcPr>
            <w:tcW w:type="dxa" w:w="6506"/>
            <w:tcMar>
              <w:top w:type="dxa" w:w="56"/>
              <w:left w:type="dxa" w:w="130"/>
              <w:bottom w:type="dxa" w:w="56"/>
              <w:right w:type="dxa" w:w="130"/>
            </w:tcMar>
            <w:vAlign w:val="top"/>
          </w:tcPr>
          <w:p>
            <w:pPr>
              <w:spacing w:after="30"/>
              <w:jc w:val="both"/>
            </w:pPr>
            <w:r>
              <w:t xml:space="preserve">Transfers of shares by the Founders will be subject to a right of first refusal in favour of the Company and then the Investor, and to a co-sale (tag-along) right entitling the Investor to participate, pro rata, in any permitted transfer by a Founder. These provisions will be set out in the New Articles and the Subscription and Shareholders’ Agreement.</w:t>
            </w:r>
          </w:p>
        </w:tc>
      </w:tr>
      <w:tr>
        <w:trPr>
          <w:cantSplit w:val="false"/>
        </w:trPr>
        <w:tc>
          <w:tcPr>
            <w:tcW w:type="dxa" w:w="2520"/>
            <w:shd w:fill="EEF2F6" w:val="clear"/>
            <w:tcMar>
              <w:top w:type="dxa" w:w="56"/>
              <w:left w:type="dxa" w:w="130"/>
              <w:bottom w:type="dxa" w:w="56"/>
              <w:right w:type="dxa" w:w="130"/>
            </w:tcMar>
            <w:vAlign w:val="top"/>
          </w:tcPr>
          <w:p>
            <w:r>
              <w:rPr>
                <w:b/>
                <w:bCs/>
              </w:rPr>
              <w:t xml:space="preserve">Drag-Along</w:t>
            </w:r>
          </w:p>
        </w:tc>
        <w:tc>
          <w:tcPr>
            <w:tcW w:type="dxa" w:w="6506"/>
            <w:tcMar>
              <w:top w:type="dxa" w:w="56"/>
              <w:left w:type="dxa" w:w="130"/>
              <w:bottom w:type="dxa" w:w="56"/>
              <w:right w:type="dxa" w:w="130"/>
            </w:tcMar>
            <w:vAlign w:val="top"/>
          </w:tcPr>
          <w:p>
            <w:pPr>
              <w:spacing w:after="30"/>
              <w:jc w:val="both"/>
            </w:pPr>
            <w:r>
              <w:t xml:space="preserve">If holders of 75% or more of the Company’s shares (voting together as a single class on an as-converted basis) approve a bona fide arm’s-length sale of the Company, all remaining shareholders will be required to sell their shares on the same terms.</w:t>
            </w:r>
          </w:p>
        </w:tc>
      </w:tr>
      <w:tr>
        <w:trPr>
          <w:cantSplit w:val="false"/>
        </w:trPr>
        <w:tc>
          <w:tcPr>
            <w:tcW w:type="dxa" w:w="2520"/>
            <w:shd w:fill="EEF2F6" w:val="clear"/>
            <w:tcMar>
              <w:top w:type="dxa" w:w="56"/>
              <w:left w:type="dxa" w:w="130"/>
              <w:bottom w:type="dxa" w:w="56"/>
              <w:right w:type="dxa" w:w="130"/>
            </w:tcMar>
            <w:vAlign w:val="top"/>
          </w:tcPr>
          <w:p>
            <w:r>
              <w:rPr>
                <w:b/>
                <w:bCs/>
              </w:rPr>
              <w:t xml:space="preserve">Founder Commitments</w:t>
            </w:r>
          </w:p>
        </w:tc>
        <w:tc>
          <w:tcPr>
            <w:tcW w:type="dxa" w:w="6506"/>
            <w:tcMar>
              <w:top w:type="dxa" w:w="56"/>
              <w:left w:type="dxa" w:w="130"/>
              <w:bottom w:type="dxa" w:w="56"/>
              <w:right w:type="dxa" w:w="130"/>
            </w:tcMar>
            <w:vAlign w:val="top"/>
          </w:tcPr>
          <w:p>
            <w:pPr>
              <w:spacing w:after="30"/>
              <w:jc w:val="both"/>
            </w:pPr>
            <w:r>
              <w:t xml:space="preserve">Each Founder will (a) enter into, or confirm, a service agreement with the Company; (b) give non-competition and non-solicitation undertakings in the Subscription and Shareholders’ Agreement; and (c) be subject to customary good leaver / bad leaver provisions in respect of their shares.</w:t>
            </w:r>
          </w:p>
        </w:tc>
      </w:tr>
      <w:tr>
        <w:trPr>
          <w:cantSplit w:val="false"/>
        </w:trPr>
        <w:tc>
          <w:tcPr>
            <w:tcW w:type="dxa" w:w="2520"/>
            <w:shd w:fill="EEF2F6" w:val="clear"/>
            <w:tcMar>
              <w:top w:type="dxa" w:w="56"/>
              <w:left w:type="dxa" w:w="130"/>
              <w:bottom w:type="dxa" w:w="56"/>
              <w:right w:type="dxa" w:w="130"/>
            </w:tcMar>
            <w:vAlign w:val="top"/>
          </w:tcPr>
          <w:p>
            <w:r>
              <w:rPr>
                <w:b/>
                <w:bCs/>
              </w:rPr>
              <w:t xml:space="preserve">Warranties</w:t>
            </w:r>
          </w:p>
        </w:tc>
        <w:tc>
          <w:tcPr>
            <w:tcW w:type="dxa" w:w="6506"/>
            <w:tcMar>
              <w:top w:type="dxa" w:w="56"/>
              <w:left w:type="dxa" w:w="130"/>
              <w:bottom w:type="dxa" w:w="56"/>
              <w:right w:type="dxa" w:w="130"/>
            </w:tcMar>
            <w:vAlign w:val="top"/>
          </w:tcPr>
          <w:p>
            <w:pPr>
              <w:spacing w:after="30"/>
              <w:jc w:val="both"/>
            </w:pPr>
            <w:r>
              <w:t xml:space="preserve">The Company and the Founders will give customary business, financial, tax and intellectual property warranties in the Subscription and Shareholders’ Agreement, subject to disclosure against an agreed disclosure letter and to limitations on liability (including a cap and time limits) to be agreed in the Definitive Documents.</w:t>
            </w:r>
          </w:p>
        </w:tc>
      </w:tr>
      <w:tr>
        <w:trPr>
          <w:cantSplit w:val="false"/>
        </w:trPr>
        <w:tc>
          <w:tcPr>
            <w:tcW w:type="dxa" w:w="2520"/>
            <w:shd w:fill="EEF2F6" w:val="clear"/>
            <w:tcMar>
              <w:top w:type="dxa" w:w="56"/>
              <w:left w:type="dxa" w:w="130"/>
              <w:bottom w:type="dxa" w:w="56"/>
              <w:right w:type="dxa" w:w="130"/>
            </w:tcMar>
            <w:vAlign w:val="top"/>
          </w:tcPr>
          <w:p>
            <w:r>
              <w:rPr>
                <w:b/>
                <w:bCs/>
              </w:rPr>
              <w:t xml:space="preserve">Conditions to Completion</w:t>
            </w:r>
          </w:p>
        </w:tc>
        <w:tc>
          <w:tcPr>
            <w:tcW w:type="dxa" w:w="6506"/>
            <w:tcMar>
              <w:top w:type="dxa" w:w="56"/>
              <w:left w:type="dxa" w:w="130"/>
              <w:bottom w:type="dxa" w:w="56"/>
              <w:right w:type="dxa" w:w="130"/>
            </w:tcMar>
            <w:vAlign w:val="top"/>
          </w:tcPr>
          <w:p>
            <w:pPr>
              <w:spacing w:after="30"/>
              <w:jc w:val="both"/>
            </w:pPr>
            <w:r>
              <w:t xml:space="preserve">Completion is conditional on, among other things: satisfactory completion of legal, financial, technical and commercial due diligence; negotiation and execution of the Definitive Documents; adoption of the New Articles; implementation of the Enlarged Option Pool; receipt of all necessary board and shareholder approvals; and there being no material adverse change in the business, assets or prospects of the Company.</w:t>
            </w:r>
          </w:p>
        </w:tc>
      </w:tr>
      <w:tr>
        <w:trPr>
          <w:cantSplit w:val="false"/>
        </w:trPr>
        <w:tc>
          <w:tcPr>
            <w:tcW w:type="dxa" w:w="2520"/>
            <w:shd w:fill="EEF2F6" w:val="clear"/>
            <w:tcMar>
              <w:top w:type="dxa" w:w="56"/>
              <w:left w:type="dxa" w:w="130"/>
              <w:bottom w:type="dxa" w:w="56"/>
              <w:right w:type="dxa" w:w="130"/>
            </w:tcMar>
            <w:vAlign w:val="top"/>
          </w:tcPr>
          <w:p>
            <w:r>
              <w:rPr>
                <w:b/>
                <w:bCs/>
              </w:rPr>
              <w:t xml:space="preserve">Definitive Documents</w:t>
            </w:r>
          </w:p>
        </w:tc>
        <w:tc>
          <w:tcPr>
            <w:tcW w:type="dxa" w:w="6506"/>
            <w:tcMar>
              <w:top w:type="dxa" w:w="56"/>
              <w:left w:type="dxa" w:w="130"/>
              <w:bottom w:type="dxa" w:w="56"/>
              <w:right w:type="dxa" w:w="130"/>
            </w:tcMar>
            <w:vAlign w:val="top"/>
          </w:tcPr>
          <w:p>
            <w:pPr>
              <w:spacing w:after="30"/>
              <w:jc w:val="both"/>
            </w:pPr>
            <w:r>
              <w:t xml:space="preserve">The Proposed Transaction will be documented by, among other things, a subscription and shareholders’ agreement (the “Subscription and Shareholders’ Agreement” or “SPA”), amended and restated articles of association (the “New Articles”), an investor rights agreement, a disclosure letter and ancillary completion documents (together the “Definitive Documents”).</w:t>
            </w:r>
          </w:p>
        </w:tc>
      </w:tr>
      <w:tr>
        <w:trPr>
          <w:cantSplit w:val="false"/>
        </w:trPr>
        <w:tc>
          <w:tcPr>
            <w:tcW w:type="dxa" w:w="2520"/>
            <w:shd w:fill="EEF2F6" w:val="clear"/>
            <w:tcMar>
              <w:top w:type="dxa" w:w="56"/>
              <w:left w:type="dxa" w:w="130"/>
              <w:bottom w:type="dxa" w:w="56"/>
              <w:right w:type="dxa" w:w="130"/>
            </w:tcMar>
            <w:vAlign w:val="top"/>
          </w:tcPr>
          <w:p>
            <w:r>
              <w:rPr>
                <w:b/>
                <w:bCs/>
              </w:rPr>
              <w:t xml:space="preserve">Legal Counsel</w:t>
            </w:r>
          </w:p>
        </w:tc>
        <w:tc>
          <w:tcPr>
            <w:tcW w:type="dxa" w:w="6506"/>
            <w:tcMar>
              <w:top w:type="dxa" w:w="56"/>
              <w:left w:type="dxa" w:w="130"/>
              <w:bottom w:type="dxa" w:w="56"/>
              <w:right w:type="dxa" w:w="130"/>
            </w:tcMar>
            <w:vAlign w:val="top"/>
          </w:tcPr>
          <w:p>
            <w:pPr>
              <w:spacing w:after="30"/>
              <w:jc w:val="both"/>
            </w:pPr>
            <w:r>
              <w:t xml:space="preserve">Legal counsel to the Investor is Whitfield Carter LLP (lead associate: James Osei; supervising partner: Sarah Whitfield). Legal counsel to the Company and the Founders is Hargrove &amp; Associates LLP (lead partner: Rachel Hargrove).</w:t>
            </w:r>
          </w:p>
        </w:tc>
      </w:tr>
      <w:tr>
        <w:trPr>
          <w:cantSplit w:val="false"/>
        </w:trPr>
        <w:tc>
          <w:tcPr>
            <w:tcW w:type="dxa" w:w="2520"/>
            <w:shd w:fill="EEF2F6" w:val="clear"/>
            <w:tcMar>
              <w:top w:type="dxa" w:w="56"/>
              <w:left w:type="dxa" w:w="130"/>
              <w:bottom w:type="dxa" w:w="56"/>
              <w:right w:type="dxa" w:w="130"/>
            </w:tcMar>
            <w:vAlign w:val="top"/>
          </w:tcPr>
          <w:p>
            <w:r>
              <w:rPr>
                <w:b/>
                <w:bCs/>
              </w:rPr>
              <w:t xml:space="preserve">Target Completion</w:t>
            </w:r>
          </w:p>
        </w:tc>
        <w:tc>
          <w:tcPr>
            <w:tcW w:type="dxa" w:w="6506"/>
            <w:tcMar>
              <w:top w:type="dxa" w:w="56"/>
              <w:left w:type="dxa" w:w="130"/>
              <w:bottom w:type="dxa" w:w="56"/>
              <w:right w:type="dxa" w:w="130"/>
            </w:tcMar>
            <w:vAlign w:val="top"/>
          </w:tcPr>
          <w:p>
            <w:pPr>
              <w:spacing w:after="30"/>
              <w:jc w:val="both"/>
            </w:pPr>
            <w:r>
              <w:t xml:space="preserve">The parties will use reasonable endeavours to achieve Completion on or before 31 March 2024.</w:t>
            </w:r>
          </w:p>
        </w:tc>
      </w:tr>
    </w:tbl>
    <w:p>
      <w:pPr>
        <w:spacing w:after="130" w:before="260"/>
        <w:jc w:val="both"/>
      </w:pPr>
      <w:r>
        <w:rPr>
          <w:b/>
          <w:bCs/>
        </w:rPr>
        <w:t xml:space="preserve">BINDING PROVISIONS</w:t>
      </w:r>
    </w:p>
    <w:p>
      <w:pPr>
        <w:spacing w:after="130" w:before="0"/>
        <w:jc w:val="both"/>
      </w:pPr>
      <w:r>
        <w:rPr>
          <w:i/>
          <w:iCs/>
        </w:rPr>
        <w:t xml:space="preserve">The following paragraphs 1 to 6 are intended to be, and are, legally binding on the parties.</w:t>
      </w:r>
    </w:p>
    <w:p>
      <w:pPr>
        <w:tabs>
          <w:tab w:val="left" w:pos="600"/>
        </w:tabs>
        <w:spacing w:after="52" w:before="0"/>
        <w:ind w:left="600" w:hanging="600"/>
        <w:jc w:val="both"/>
      </w:pPr>
      <w:r>
        <w:rPr>
          <w:b w:val="false"/>
          <w:bCs w:val="false"/>
        </w:rPr>
        <w:t xml:space="preserve">1	</w:t>
      </w:r>
      <w:r>
        <w:rPr>
          <w:b/>
          <w:bCs/>
        </w:rPr>
        <w:t xml:space="preserve">Confidentiality.  </w:t>
      </w:r>
      <w:r>
        <w:t xml:space="preserve">The existence and terms of this Term Sheet, and the fact that discussions are taking place between the parties, are confidential and may not be disclosed by any party to any third party (other than to its Representatives and professional advisers on a need-to-know basis) without the prior written consent of the other parties, except as required by law or regulation. This paragraph is supplemental to, and without prejudice to, the mutual non-disclosure agreement between the Investor and the Company dated 14 September 2023 (the </w:t>
      </w:r>
      <w:r>
        <w:rPr>
          <w:b/>
          <w:bCs/>
        </w:rPr>
        <w:t xml:space="preserve">“NDA”</w:t>
      </w:r>
      <w:r>
        <w:t xml:space="preserve">), which remains in full force and effect.</w:t>
      </w:r>
    </w:p>
    <w:p>
      <w:pPr>
        <w:tabs>
          <w:tab w:val="left" w:pos="600"/>
        </w:tabs>
        <w:spacing w:after="52" w:before="0"/>
        <w:ind w:left="600" w:hanging="600"/>
        <w:jc w:val="both"/>
      </w:pPr>
      <w:r>
        <w:rPr>
          <w:b w:val="false"/>
          <w:bCs w:val="false"/>
        </w:rPr>
        <w:t xml:space="preserve">2	</w:t>
      </w:r>
      <w:r>
        <w:rPr>
          <w:b/>
          <w:bCs/>
        </w:rPr>
        <w:t xml:space="preserve">Exclusivity.  </w:t>
      </w:r>
      <w:r>
        <w:t xml:space="preserve">In consideration of the Investor incurring costs in connection with the Proposed Transaction, the Company and each of the Founders undertake that, for the period of 45 days from the date of this Term Sheet (the </w:t>
      </w:r>
      <w:r>
        <w:rPr>
          <w:b/>
          <w:bCs/>
        </w:rPr>
        <w:t xml:space="preserve">“Exclusivity Period”</w:t>
      </w:r>
      <w:r>
        <w:t xml:space="preserve">), they will not, and will procure that the Company’s directors, officers, employees, agents and advisers will not, directly or indirectly: (a) solicit, initiate, encourage or enter into any discussions or negotiations with any person other than the Investor in relation to any investment in, or any sale, disposal or transfer of any shares or material assets of, the Company; (b) provide any information to any such person for those purposes; or (c) enter into any agreement or arrangement with any such person in relation to any such transaction. The Company will notify the Investor promptly if it receives any approach of that kind during the Exclusivity Period.</w:t>
      </w:r>
    </w:p>
    <w:p>
      <w:pPr>
        <w:tabs>
          <w:tab w:val="left" w:pos="600"/>
        </w:tabs>
        <w:spacing w:after="52" w:before="0"/>
        <w:ind w:left="600" w:hanging="600"/>
        <w:jc w:val="both"/>
      </w:pPr>
      <w:r>
        <w:rPr>
          <w:b w:val="false"/>
          <w:bCs w:val="false"/>
        </w:rPr>
        <w:t xml:space="preserve">3	</w:t>
      </w:r>
      <w:r>
        <w:rPr>
          <w:b/>
          <w:bCs/>
        </w:rPr>
        <w:t xml:space="preserve">Costs.  </w:t>
      </w:r>
      <w:r>
        <w:t xml:space="preserve">Each party will bear its own costs and expenses in connection with the Proposed Transaction, save that, if the Proposed Transaction completes, the Company will pay the reasonable and properly incurred legal fees and disbursements of the Investor in connection with the Proposed Transaction, up to a maximum of £40,000 (plus VAT).</w:t>
      </w:r>
    </w:p>
    <w:p>
      <w:pPr>
        <w:tabs>
          <w:tab w:val="left" w:pos="600"/>
        </w:tabs>
        <w:spacing w:after="52" w:before="0"/>
        <w:ind w:left="600" w:hanging="600"/>
        <w:jc w:val="both"/>
      </w:pPr>
      <w:r>
        <w:rPr>
          <w:b w:val="false"/>
          <w:bCs w:val="false"/>
        </w:rPr>
        <w:t xml:space="preserve">4	</w:t>
      </w:r>
      <w:r>
        <w:rPr>
          <w:b/>
          <w:bCs/>
        </w:rPr>
        <w:t xml:space="preserve">Status of this Term Sheet.  </w:t>
      </w:r>
      <w:r>
        <w:t xml:space="preserve">Except for paragraphs 1, 2, 3, this paragraph 4 and paragraph 5 (which are intended to be, and are, legally binding on the parties), this Term Sheet is a summary of the principal terms on which the Investor would be prepared to proceed and does not constitute an offer capable of acceptance or a legally binding commitment. No party is under any obligation to proceed with, negotiate or complete the Proposed Transaction. The Proposed Transaction is subject to contract and conditional on, among other things, satisfactory completion of due diligence and the negotiation and execution of the Definitive Documents.</w:t>
      </w:r>
    </w:p>
    <w:p>
      <w:pPr>
        <w:tabs>
          <w:tab w:val="left" w:pos="600"/>
        </w:tabs>
        <w:spacing w:after="52" w:before="0"/>
        <w:ind w:left="600" w:hanging="600"/>
        <w:jc w:val="both"/>
      </w:pPr>
      <w:r>
        <w:rPr>
          <w:b w:val="false"/>
          <w:bCs w:val="false"/>
        </w:rPr>
        <w:t xml:space="preserve">5	</w:t>
      </w:r>
      <w:r>
        <w:rPr>
          <w:b/>
          <w:bCs/>
        </w:rPr>
        <w:t xml:space="preserve">Governing Law and Jurisdiction.  </w:t>
      </w:r>
      <w:r>
        <w:t xml:space="preserve">This Term Sheet and any dispute or claim (including non-contractual disputes or claims) arising out of or in connection with it or its subject matter are governed by, and construed in accordance with, the law of England and Wales, and the parties irrevocably submit to the exclusive jurisdiction of the courts of England and Wales.</w:t>
      </w:r>
    </w:p>
    <w:p>
      <w:pPr>
        <w:tabs>
          <w:tab w:val="left" w:pos="600"/>
        </w:tabs>
        <w:spacing w:after="52" w:before="0"/>
        <w:ind w:left="600" w:hanging="600"/>
        <w:jc w:val="both"/>
      </w:pPr>
      <w:r>
        <w:rPr>
          <w:b w:val="false"/>
          <w:bCs w:val="false"/>
        </w:rPr>
        <w:t xml:space="preserve">6	</w:t>
      </w:r>
      <w:r>
        <w:rPr>
          <w:b/>
          <w:bCs/>
        </w:rPr>
        <w:t xml:space="preserve">Lapse.  </w:t>
      </w:r>
      <w:r>
        <w:t xml:space="preserve">This Term Sheet (including the binding provisions) will lapse and cease to have effect if it has not been signed by all parties by 5.00 p.m. (London time) on 8 December 2023.</w:t>
      </w:r>
    </w:p>
    <w:p>
      <w:pPr>
        <w:spacing w:after="150" w:before="150"/>
        <w:jc w:val="both"/>
      </w:pPr>
      <w:r>
        <w:rPr>
          <w:b/>
          <w:bCs/>
        </w:rPr>
        <w:t xml:space="preserve">AGREED AND ACCEPTED</w:t>
      </w:r>
    </w:p>
    <w:p>
      <w:pPr>
        <w:spacing w:after="20" w:before="0"/>
        <w:jc w:val="both"/>
      </w:pPr>
      <w:r>
        <w:rPr>
          <w:b/>
          <w:bCs/>
        </w:rPr>
        <w:t xml:space="preserve">Signed for and on behalf of CRESTVIEW CAPITAL PARTNERS LLP</w:t>
      </w:r>
    </w:p>
    <w:p>
      <w:pPr>
        <w:spacing w:after="24" w:before="170"/>
      </w:pPr>
      <w:r>
        <w:t xml:space="preserve">..............................................</w:t>
      </w:r>
    </w:p>
    <w:p>
      <w:pPr>
        <w:spacing w:after="110" w:before="0"/>
        <w:jc w:val="both"/>
      </w:pPr>
      <w:r>
        <w:rPr>
          <w:color w:val="808080"/>
          <w:sz w:val="18"/>
          <w:szCs w:val="18"/>
        </w:rPr>
        <w:t xml:space="preserve">Signature</w:t>
      </w:r>
    </w:p>
    <w:p>
      <w:pPr>
        <w:spacing w:after="40" w:before="0"/>
        <w:jc w:val="both"/>
      </w:pPr>
      <w:r>
        <w:t xml:space="preserve">Name:  </w:t>
      </w:r>
      <w:r>
        <w:t xml:space="preserve">Margaret Holloway</w:t>
      </w:r>
    </w:p>
    <w:p>
      <w:pPr>
        <w:spacing w:after="40" w:before="0"/>
        <w:jc w:val="both"/>
      </w:pPr>
      <w:r>
        <w:t xml:space="preserve">Title:  </w:t>
      </w:r>
      <w:r>
        <w:t xml:space="preserve">Partner, duly authorised</w:t>
      </w:r>
    </w:p>
    <w:p>
      <w:pPr>
        <w:spacing w:after="180" w:before="0"/>
        <w:jc w:val="both"/>
      </w:pPr>
      <w:r>
        <w:t xml:space="preserve">Date:  </w:t>
      </w:r>
      <w:r>
        <w:t xml:space="preserve">27 November 2023</w:t>
      </w:r>
    </w:p>
    <w:p>
      <w:pPr>
        <w:spacing w:after="20" w:before="0"/>
        <w:jc w:val="both"/>
      </w:pPr>
      <w:r>
        <w:rPr>
          <w:b/>
          <w:bCs/>
        </w:rPr>
        <w:t xml:space="preserve">Signed for and on behalf of LUMINOS AI LTD</w:t>
      </w:r>
    </w:p>
    <w:p>
      <w:pPr>
        <w:spacing w:after="24" w:before="170"/>
      </w:pPr>
      <w:r>
        <w:t xml:space="preserve">..............................................</w:t>
      </w:r>
    </w:p>
    <w:p>
      <w:pPr>
        <w:spacing w:after="110" w:before="0"/>
        <w:jc w:val="both"/>
      </w:pPr>
      <w:r>
        <w:rPr>
          <w:color w:val="808080"/>
          <w:sz w:val="18"/>
          <w:szCs w:val="18"/>
        </w:rPr>
        <w:t xml:space="preserve">Signature</w:t>
      </w:r>
    </w:p>
    <w:p>
      <w:pPr>
        <w:spacing w:after="40" w:before="0"/>
        <w:jc w:val="both"/>
      </w:pPr>
      <w:r>
        <w:t xml:space="preserve">Name:  </w:t>
      </w:r>
      <w:r>
        <w:t xml:space="preserve">Dr Priya Anand</w:t>
      </w:r>
    </w:p>
    <w:p>
      <w:pPr>
        <w:spacing w:after="40" w:before="0"/>
        <w:jc w:val="both"/>
      </w:pPr>
      <w:r>
        <w:t xml:space="preserve">Title:  </w:t>
      </w:r>
      <w:r>
        <w:t xml:space="preserve">Director and Chief Executive Officer</w:t>
      </w:r>
    </w:p>
    <w:p>
      <w:pPr>
        <w:spacing w:after="180" w:before="0"/>
        <w:jc w:val="both"/>
      </w:pPr>
      <w:r>
        <w:t xml:space="preserve">Date:  </w:t>
      </w:r>
      <w:r>
        <w:t xml:space="preserve">27 November 2023</w:t>
      </w:r>
    </w:p>
    <w:p>
      <w:pPr>
        <w:spacing w:after="220" w:before="0"/>
        <w:jc w:val="both"/>
      </w:pPr>
      <w:r>
        <w:rPr>
          <w:b/>
          <w:bCs/>
        </w:rPr>
        <w:t xml:space="preserve">Signed by the Founders, for the purposes of the binding provisions of this Term Sheet only:</w:t>
      </w:r>
    </w:p>
    <w:p>
      <w:pPr>
        <w:spacing w:after="24" w:before="170"/>
      </w:pPr>
      <w:r>
        <w:t xml:space="preserve">..............................................</w:t>
      </w:r>
    </w:p>
    <w:p>
      <w:pPr>
        <w:spacing w:after="150" w:before="0"/>
        <w:jc w:val="both"/>
      </w:pPr>
      <w:r>
        <w:t xml:space="preserve">Dr Priya Anand</w:t>
      </w:r>
      <w:r>
        <w:t xml:space="preserve">          Date:  27 November 2023</w:t>
      </w:r>
    </w:p>
    <w:p>
      <w:pPr>
        <w:spacing w:after="24" w:before="170"/>
      </w:pPr>
      <w:r>
        <w:t xml:space="preserve">..............................................</w:t>
      </w:r>
    </w:p>
    <w:p>
      <w:pPr>
        <w:spacing w:after="150" w:before="0"/>
        <w:jc w:val="both"/>
      </w:pPr>
      <w:r>
        <w:t xml:space="preserve">Dr Oliver Kessler</w:t>
      </w:r>
      <w:r>
        <w:t xml:space="preserve">          Date:  27 November 2023</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5"/>
      </w:pBdr>
      <w:tabs>
        <w:tab w:val="right" w:pos="9026"/>
      </w:tabs>
    </w:pPr>
    <w:r>
      <w:rPr>
        <w:color w:val="808080"/>
        <w:sz w:val="15"/>
        <w:szCs w:val="15"/>
      </w:rPr>
      <w:t xml:space="preserve">Whitfield Carter LLP   |   Matter 47291-0001   |   Series B Term Sheet – Luminos AI</w:t>
    </w:r>
    <w:r>
      <w:rPr>
        <w:color w:val="808080"/>
        <w:sz w:val="15"/>
        <w:szCs w:val="15"/>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b/>
        <w:bCs/>
        <w:color w:val="808080"/>
        <w:sz w:val="15"/>
        <w:szCs w:val="15"/>
      </w:rPr>
      <w:t xml:space="preserve">PRIVATE &amp; CONFIDENTIAL  –  SUBJECT TO CONTRACT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33"/>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2026-05-20T22:13:40.414Z</dcterms:created>
  <dcterms:modified xsi:type="dcterms:W3CDTF">2026-05-20T22:13:40.418Z</dcterms:modified>
</cp:coreProperties>
</file>

<file path=docProps/custom.xml><?xml version="1.0" encoding="utf-8"?>
<Properties xmlns="http://schemas.openxmlformats.org/officeDocument/2006/custom-properties" xmlns:vt="http://schemas.openxmlformats.org/officeDocument/2006/docPropsVTypes"/>
</file>