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aps/>
          <w:sz w:val="30"/>
          <w:szCs w:val="30"/>
        </w:rPr>
        <w:t xml:space="preserve">Whitfield Carter LLP</w:t>
      </w:r>
    </w:p>
    <w:p>
      <w:pPr>
        <w:spacing w:after="0"/>
        <w:jc w:val="center"/>
      </w:pPr>
      <w:r>
        <w:rPr>
          <w:color w:val="555555"/>
          <w:sz w:val="18"/>
          <w:szCs w:val="18"/>
        </w:rPr>
        <w:t xml:space="preserve">22 Bishopsgate, London EC2N 4BQ</w:t>
      </w:r>
    </w:p>
    <w:p>
      <w:pPr>
        <w:pBdr>
          <w:bottom w:val="single" w:color="1F3864" w:sz="6" w:space="6"/>
        </w:pBdr>
        <w:spacing w:after="160"/>
        <w:jc w:val="center"/>
      </w:pPr>
      <w:r>
        <w:rPr>
          <w:color w:val="555555"/>
          <w:sz w:val="18"/>
          <w:szCs w:val="18"/>
        </w:rPr>
        <w:t xml:space="preserve">Tel +44 (0)20 7946 0815  ·  whitfieldcarter.com</w:t>
      </w:r>
    </w:p>
    <w:p>
      <w:pPr>
        <w:spacing w:after="120" w:line="276"/>
      </w:pPr>
      <w:r>
        <w:t xml:space="preserve">From: Geoffrey Marwick and the Marwick Family Trust (the “Warrantors”)</w:t>
      </w:r>
    </w:p>
    <w:p>
      <w:pPr>
        <w:spacing w:after="120" w:line="276"/>
      </w:pPr>
      <w:r>
        <w:t xml:space="preserve">To: Beacon Bidco Limited (the “Buyer”)</w:t>
      </w:r>
    </w:p>
    <w:p>
      <w:pPr>
        <w:spacing w:after="120" w:line="276"/>
      </w:pPr>
      <w:r>
        <w:t xml:space="preserve">Dated 7 November 2025</w:t>
      </w:r>
    </w:p>
    <w:p>
      <w:pPr>
        <w:spacing w:after="120" w:line="276"/>
      </w:pPr>
      <w:r>
        <w:t xml:space="preserve">Dear Sirs</w:t>
      </w:r>
    </w:p>
    <w:p>
      <w:pPr>
        <w:spacing w:after="120" w:line="276"/>
      </w:pPr>
      <w:r>
        <w:rPr>
          <w:b/>
          <w:bCs/>
        </w:rPr>
        <w:t xml:space="preserve">Project Beacon — Disclosure Letter</w:t>
      </w:r>
    </w:p>
    <w:p>
      <w:pPr>
        <w:spacing w:after="120" w:line="276"/>
      </w:pPr>
      <w:r>
        <w:t xml:space="preserve">This is the Disclosure Letter referred to in the share purchase agreement of even date between (1) the Sellers and (2) the Buyer relating to the sale and purchase of the entire issued share capital of Meadowbank Foods Limited (the “Agreement”). Words and expressions defined in the Agreement have the same meaning in this letter unless otherwise stated.</w:t>
      </w:r>
    </w:p>
    <w:p>
      <w:pPr>
        <w:pStyle w:val="ListParagraph"/>
        <w:numPr>
          <w:ilvl w:val="0"/>
          <w:numId w:val="2"/>
        </w:numPr>
        <w:spacing w:after="100" w:before="160"/>
      </w:pPr>
      <w:r>
        <w:rPr>
          <w:b/>
          <w:bCs/>
          <w:caps/>
        </w:rPr>
        <w:t xml:space="preserve"> General</w:t>
      </w:r>
    </w:p>
    <w:p>
      <w:pPr>
        <w:pStyle w:val="ListParagraph"/>
        <w:numPr>
          <w:ilvl w:val="0"/>
          <w:numId w:val="3"/>
        </w:numPr>
        <w:spacing w:after="100" w:line="276"/>
      </w:pPr>
      <w:r>
        <w:t xml:space="preserve"> The Warranties are given subject to the matters disclosed in this letter and in the documents listed in the Disclosure Bundle (the index to which is annexed). The Buyer is deemed to have knowledge of all matters fairly disclosed.</w:t>
      </w:r>
    </w:p>
    <w:p>
      <w:pPr>
        <w:pStyle w:val="ListParagraph"/>
        <w:numPr>
          <w:ilvl w:val="0"/>
          <w:numId w:val="3"/>
        </w:numPr>
        <w:spacing w:after="100" w:line="276"/>
      </w:pPr>
      <w:r>
        <w:t xml:space="preserve"> Matters disclosed against any Warranty are disclosed against all Warranties to which they may relate. Disclosure of any matter is not an admission that it is material or that it would otherwise have to be disclosed.</w:t>
      </w:r>
    </w:p>
    <w:p>
      <w:pPr>
        <w:pStyle w:val="ListParagraph"/>
        <w:numPr>
          <w:ilvl w:val="0"/>
          <w:numId w:val="3"/>
        </w:numPr>
        <w:spacing w:after="100" w:line="276"/>
      </w:pPr>
      <w:r>
        <w:t xml:space="preserve"> This letter is governed by the law of England and Wales.</w:t>
      </w:r>
    </w:p>
    <w:p>
      <w:pPr>
        <w:pStyle w:val="ListParagraph"/>
        <w:numPr>
          <w:ilvl w:val="0"/>
          <w:numId w:val="2"/>
        </w:numPr>
        <w:spacing w:after="100" w:before="160"/>
      </w:pPr>
      <w:r>
        <w:rPr>
          <w:b/>
          <w:bCs/>
          <w:caps/>
        </w:rPr>
        <w:t xml:space="preserve"> General Disclosures</w:t>
      </w:r>
    </w:p>
    <w:p>
      <w:pPr>
        <w:spacing w:after="120" w:line="276"/>
      </w:pPr>
      <w:r>
        <w:t xml:space="preserve">The following are deemed disclosed against the Warranties generally: (a) all matters apparent from the statutory registers and filed accounts of the Company at Companies House; (b) all matters recorded at HM Land Registry in respect of the Company’s properties; (c) the contents of the Data Room hosted by Datasite as at 31 October 2025, the index of which is annexed; (d) all matters which would be revealed by the usual pre-contract property and company searches; and (e) the Accounts and the management accounts to 30 September 2025.</w:t>
      </w:r>
    </w:p>
    <w:p>
      <w:pPr>
        <w:pStyle w:val="ListParagraph"/>
        <w:numPr>
          <w:ilvl w:val="0"/>
          <w:numId w:val="2"/>
        </w:numPr>
        <w:spacing w:after="100" w:before="160"/>
      </w:pPr>
      <w:r>
        <w:rPr>
          <w:b/>
          <w:bCs/>
          <w:caps/>
        </w:rPr>
        <w:t xml:space="preserve"> Specific Disclosures</w:t>
      </w:r>
    </w:p>
    <w:p>
      <w:pPr>
        <w:spacing w:after="120" w:line="276"/>
      </w:pPr>
      <w:r>
        <w:rPr>
          <w:b/>
          <w:bCs/>
        </w:rPr>
        <w:t xml:space="preserve">Warranty 4 (Assets)</w:t>
      </w:r>
    </w:p>
    <w:p>
      <w:pPr>
        <w:spacing w:after="120" w:line="276"/>
      </w:pPr>
      <w:r>
        <w:t xml:space="preserve">Two delivery vehicles (registrations YK19 ELT and YK20 PVH) are held under hire-purchase agreements with Sterling Asset Finance; copies are at Bundle tab 4.2. The chilled production line at the Wakefield site is subject to a retention-of-title clause in favour of Frigus Engineering Ltd pending final payment of £86,400, due December 2025.</w:t>
      </w:r>
    </w:p>
    <w:p>
      <w:pPr>
        <w:spacing w:after="120" w:line="276"/>
      </w:pPr>
      <w:r>
        <w:rPr>
          <w:b/>
          <w:bCs/>
        </w:rPr>
        <w:t xml:space="preserve">Warranty 5 (Contracts)</w:t>
      </w:r>
    </w:p>
    <w:p>
      <w:pPr>
        <w:spacing w:after="120" w:line="276"/>
      </w:pPr>
      <w:r>
        <w:t xml:space="preserve">The supply agreement with Halcyon Retail Group (Bundle tab 5.1) contains a change-of-control provision entitling the customer to terminate on 90 days’ notice. Halcyon has confirmed in writing (tab 5.2) that it will not exercise that right in connection with the Transaction. The Company’s top-five customers represent approximately 58% of turnover.</w:t>
      </w:r>
    </w:p>
    <w:p>
      <w:pPr>
        <w:spacing w:after="120" w:line="276"/>
      </w:pPr>
      <w:r>
        <w:rPr>
          <w:b/>
          <w:bCs/>
        </w:rPr>
        <w:t xml:space="preserve">Warranty 6 (Litigation and Compliance)</w:t>
      </w:r>
    </w:p>
    <w:p>
      <w:pPr>
        <w:spacing w:after="120" w:line="276"/>
      </w:pPr>
      <w:r>
        <w:t xml:space="preserve">A former employee, Mr A. Doran, has intimated (but not issued) a claim for unfair dismissal; correspondence is at tab 6.1. The Company’s solicitors consider the claim has limited prospects. A minor environmental-permit variation in respect of refrigerant handling at the Wakefield site is pending (tab 6.2).</w:t>
      </w:r>
    </w:p>
    <w:p>
      <w:pPr>
        <w:spacing w:after="120" w:line="276"/>
      </w:pPr>
      <w:r>
        <w:rPr>
          <w:b/>
          <w:bCs/>
        </w:rPr>
        <w:t xml:space="preserve">Warranty 7 (Employees)</w:t>
      </w:r>
    </w:p>
    <w:p>
      <w:pPr>
        <w:spacing w:after="120" w:line="276"/>
      </w:pPr>
      <w:r>
        <w:t xml:space="preserve">Three senior employees are on enhanced notice periods of six months (tab 7.1). The Company operates a discretionary annual bonus scheme; the FY2024 pool of £245,000 was paid in March 2025.</w:t>
      </w:r>
    </w:p>
    <w:p>
      <w:pPr>
        <w:spacing w:after="120" w:line="276"/>
      </w:pPr>
      <w:r>
        <w:rPr>
          <w:b/>
          <w:bCs/>
        </w:rPr>
        <w:t xml:space="preserve">Warranty 10 (Food Safety and Regulatory)</w:t>
      </w:r>
    </w:p>
    <w:p>
      <w:pPr>
        <w:spacing w:after="120" w:line="276"/>
      </w:pPr>
      <w:r>
        <w:t xml:space="preserve">The Company’s BRCGS certificate (grade AA) expires on 14 February 2026; the renewal audit is scheduled for January 2026 (tab 10.1). A customer complaint relating to a labelling error on a single batch in May 2025 was resolved without recall (tab 10.2).</w:t>
      </w:r>
    </w:p>
    <w:p>
      <w:pPr>
        <w:spacing w:after="120" w:line="276"/>
      </w:pPr>
      <w:r>
        <w:rPr>
          <w:b/>
          <w:bCs/>
        </w:rPr>
        <w:t xml:space="preserve">Warranty 11 (Tax)</w:t>
      </w:r>
    </w:p>
    <w:p>
      <w:pPr>
        <w:spacing w:after="120" w:line="276"/>
      </w:pPr>
      <w:r>
        <w:t xml:space="preserve">An open enquiry by HMRC into the Company’s R&amp;D tax-credit claim for the period ended 31 December 2023 remains outstanding; correspondence is at tab 11.1. The Company’s advisers consider the claim is well supported.</w:t>
      </w:r>
    </w:p>
    <w:p>
      <w:pPr>
        <w:spacing w:after="120" w:line="276"/>
      </w:pPr>
      <w:r>
        <w:t xml:space="preserve">Yours faithfully</w:t>
      </w:r>
    </w:p>
    <w:p>
      <w:pPr>
        <w:spacing w:after="120" w:line="276"/>
      </w:pPr>
      <w:r>
        <w:t xml:space="preserve">.....................................</w:t>
      </w:r>
    </w:p>
    <w:p>
      <w:pPr>
        <w:spacing w:after="120" w:line="276"/>
      </w:pPr>
      <w:r>
        <w:t xml:space="preserve">For and on behalf of the Warrantors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666666"/>
        <w:sz w:val="16"/>
        <w:szCs w:val="16"/>
      </w:rPr>
      <w:t xml:space="preserve">WC-00124 | Project Beacon</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color w:val="666666"/>
        <w:sz w:val="16"/>
        <w:szCs w:val="16"/>
      </w:rPr>
      <w:t xml:space="preserve">Disclosure Letter — Project Beacon</w:t>
    </w:r>
    <w:r>
      <w:rPr>
        <w:color w:val="666666"/>
        <w:sz w:val="16"/>
        <w:szCs w:val="16"/>
      </w:rPr>
      <w:t xml:space="preserve">	Confidential and may be legally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abstractNum>
  <w:abstractNum w:abstractNumId="3" w15:restartNumberingAfterBreak="0">
    <w:multiLevelType w:val="hybridMultilevel"/>
    <w:lvl w:ilvl="0" w15:tentative="1">
      <w:start w:val="1"/>
      <w:numFmt w:val="decimal"/>
      <w:lvlText w:val="%1"/>
      <w:lvlJc w:val="left"/>
      <w:pPr>
        <w:ind w:left="720" w:hanging="72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2026-06-25T19:46:22.780Z</dcterms:created>
  <dcterms:modified xsi:type="dcterms:W3CDTF">2026-06-25T19:46:22.780Z</dcterms:modified>
</cp:coreProperties>
</file>

<file path=docProps/custom.xml><?xml version="1.0" encoding="utf-8"?>
<Properties xmlns="http://schemas.openxmlformats.org/officeDocument/2006/custom-properties" xmlns:vt="http://schemas.openxmlformats.org/officeDocument/2006/docPropsVTypes"/>
</file>