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aps/>
          <w:sz w:val="30"/>
          <w:szCs w:val="30"/>
        </w:rPr>
        <w:t xml:space="preserve">Whitfield Carter LLP</w:t>
      </w:r>
    </w:p>
    <w:p>
      <w:pPr>
        <w:spacing w:after="0"/>
        <w:jc w:val="center"/>
      </w:pPr>
      <w:r>
        <w:rPr>
          <w:color w:val="555555"/>
          <w:sz w:val="18"/>
          <w:szCs w:val="18"/>
        </w:rPr>
        <w:t xml:space="preserve">22 Bishopsgate, London EC2N 4BQ</w:t>
      </w:r>
    </w:p>
    <w:p>
      <w:pPr>
        <w:pBdr>
          <w:bottom w:val="single" w:color="1F3864" w:sz="6" w:space="6"/>
        </w:pBdr>
        <w:spacing w:after="160"/>
        <w:jc w:val="center"/>
      </w:pPr>
      <w:r>
        <w:rPr>
          <w:color w:val="555555"/>
          <w:sz w:val="18"/>
          <w:szCs w:val="18"/>
        </w:rPr>
        <w:t xml:space="preserve">Tel +44 (0)20 7946 0815  ·  whitfieldcarter.com</w:t>
      </w:r>
    </w:p>
    <w:p>
      <w:pPr>
        <w:spacing w:after="120" w:line="276"/>
        <w:jc w:val="center"/>
      </w:pPr>
      <w:r>
        <w:rPr>
          <w:b/>
          <w:bCs/>
        </w:rPr>
        <w:t xml:space="preserve">STRICTLY PRIVATE &amp; CONFIDENTIAL — SUBJECT TO CONTRACT</w:t>
      </w:r>
    </w:p>
    <w:p>
      <w:pPr>
        <w:spacing w:after="120" w:line="276"/>
        <w:jc w:val="center"/>
      </w:pPr>
      <w:r>
        <w:rPr>
          <w:b/>
          <w:bCs/>
        </w:rPr>
        <w:t xml:space="preserve">HEADS OF TERMS</w:t>
      </w:r>
    </w:p>
    <w:p>
      <w:pPr>
        <w:spacing w:after="120" w:line="276"/>
        <w:jc w:val="center"/>
      </w:pPr>
      <w:r>
        <w:rPr>
          <w:i/>
          <w:iCs/>
        </w:rPr>
        <w:t xml:space="preserve">Proposed acquisition of Meadowbank Foods Limited by Crestview Capital (“Project Beacon”)</w:t>
      </w:r>
    </w:p>
    <w:p>
      <w:pPr>
        <w:spacing w:after="120" w:line="276"/>
        <w:jc w:val="center"/>
      </w:pPr>
      <w:r>
        <w:t xml:space="preserve">Dated 5 August 2025</w:t>
      </w:r>
    </w:p>
    <w:p>
      <w:pPr>
        <w:spacing w:after="120" w:line="276"/>
      </w:pPr>
      <w:r>
        <w:t xml:space="preserve">These Heads of Terms set out the principal terms on which Crestview Capital (or a newly incorporated acquisition vehicle, “Bidco”) proposes to acquire the entire issued share capital of Meadowbank Foods Limited. Save for paragraphs 8 (Exclusivity), 9 (Confidentiality) and 10 (Costs), which are intended to be legally binding, these Heads of Terms are subject to contract and do not create legally binding obligations.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Beacon Bidco Limited, a company to be incorporated and wholly owned by funds managed or advised by Crestview Capital.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entire issued share capital of Meadowbank Foods Limited (the “Company”).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Geoffrey Marwick (65%), the Marwick Family Trust (30%) and Susan Marwick (5%).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Acquisition of 100% of the Shares for cash, on a debt-free / cash-free basis with a normalised working-capital target.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Enterprise Value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£52,000,000 on a debt-free, cash-free basis, assuming a normalised level of working capital of £8,800,000.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Equity Consideration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Approximately £47,500,000, being Enterprise Value less estimated Net Debt of £4,500,000, subject to completion-accounts adjustment.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£43,500,000 cash at completion; £2,000,000 retention held for 18 months; £2,000,000 deferred / earn-out payable after 12 months subject to EBITDA targets.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Exclusivity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Sellers grant Bidco a period of exclusivity until 31 October 2025 during which they shall not solicit, negotiate or entertain any competing offer. (Binding.)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Confidentiality Agreement dated 18 July 2025 continues to apply. (Binding.)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party bears its own costs, save that if the Sellers withdraw in breach of exclusivity they shall reimburse Bidco’s reasonable external adviser costs up to £150,000. (Binding.)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Satisfactory completion of legal, financial and commercial due diligence; agreed debt financing; and execution of a share purchase agreement on customary terms.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Warranties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Customary warranties and a tax covenant from the Warrantors, subject to agreed financial limitations and an agreed disclosure process.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Geoffrey Marwick to remain as Managing Director for a minimum transition period of 12 months on existing terms; service agreements to be agreed.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Timetable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signing by early October 2025 and completion by early November 2025.</w:t>
            </w:r>
          </w:p>
        </w:tc>
      </w:tr>
    </w:tbl>
    <w:p>
      <w:pPr>
        <w:spacing w:after="120" w:line="276"/>
      </w:pPr>
      <w:r>
        <w:t xml:space="preserve">Agreed in principle and subject to contract: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 Crestview Capital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 the Sellers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Daniel Reeve, Investment Director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Geoffrey Marwick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WC-00124 | Project Beacon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Heads of Terms — Project Beacon</w:t>
    </w:r>
    <w:r>
      <w:rPr>
        <w:color w:val="666666"/>
        <w:sz w:val="16"/>
        <w:szCs w:val="16"/>
      </w:rPr>
      <w:t xml:space="preserve">	Confidential and may be legally privileged.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2026-06-25T19:46:22.733Z</dcterms:created>
  <dcterms:modified xsi:type="dcterms:W3CDTF">2026-06-25T19:46:22.733Z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