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t>From: Geoffrey Harrowgate, Diane Harrowgate and Penfold Growth Capital LLP (the “Sellers”)</w:t>
      </w:r>
    </w:p>
    <w:p>
      <w:pPr>
        <w:spacing w:after="120"/>
      </w:pPr>
      <w:r>
        <w:rPr>
          <w:b w:val="0"/>
          <w:i w:val="0"/>
        </w:rPr>
        <w:t>To: Crestview Cedar Bidco Limited (the “Buyer”)</w:t>
      </w:r>
    </w:p>
    <w:p>
      <w:pPr>
        <w:spacing w:after="120"/>
      </w:pPr>
      <w:r>
        <w:rPr>
          <w:b w:val="0"/>
          <w:i w:val="0"/>
        </w:rPr>
        <w:t>Date: 7 May 2026</w:t>
      </w:r>
    </w:p>
    <w:p>
      <w:pPr>
        <w:spacing w:after="120"/>
      </w:pPr>
    </w:p>
    <w:p>
      <w:pPr>
        <w:spacing w:after="120"/>
      </w:pPr>
      <w:r>
        <w:rPr>
          <w:b w:val="0"/>
          <w:i w:val="0"/>
        </w:rPr>
        <w:t>Dear Sirs</w:t>
      </w:r>
    </w:p>
    <w:p>
      <w:pPr>
        <w:spacing w:after="120"/>
        <w:jc w:val="center"/>
      </w:pPr>
      <w:r>
        <w:rPr>
          <w:b/>
          <w:i w:val="0"/>
          <w:color w:val="1F3A5F"/>
          <w:sz w:val="32"/>
        </w:rPr>
        <w:t>DISCLOSURE LETTER</w:t>
      </w:r>
    </w:p>
    <w:p>
      <w:pPr>
        <w:spacing w:after="120"/>
        <w:jc w:val="center"/>
      </w:pPr>
      <w:r>
        <w:rPr>
          <w:b w:val="0"/>
          <w:i/>
        </w:rPr>
        <w:t>Project Cedar – Share Purchase Agreement relating to Harrowgate Precision Castings Limited</w:t>
      </w:r>
    </w:p>
    <w:p>
      <w:pPr>
        <w:spacing w:after="120"/>
      </w:pPr>
    </w:p>
    <w:p>
      <w:pPr>
        <w:spacing w:before="200" w:after="60"/>
      </w:pPr>
      <w:r>
        <w:rPr>
          <w:b/>
          <w:color w:val="1F3A5F"/>
          <w:sz w:val="25"/>
        </w:rPr>
        <w:t>1.  Introduction</w:t>
      </w:r>
    </w:p>
    <w:p>
      <w:pPr>
        <w:spacing w:after="120"/>
      </w:pPr>
      <w:r>
        <w:rPr>
          <w:b w:val="0"/>
          <w:i w:val="0"/>
        </w:rPr>
        <w:t>This is the Disclosure Letter referred to in the share purchase agreement of today’s date between the Sellers and the Buyer relating to the entire issued share capital of Harrowgate Precision Castings Limited (the “Agreement”). Terms defined in the Agreement have the same meaning in this letter unless otherwise stated.</w:t>
      </w:r>
    </w:p>
    <w:p>
      <w:pPr>
        <w:spacing w:after="120"/>
      </w:pPr>
      <w:r>
        <w:rPr>
          <w:b w:val="0"/>
          <w:i w:val="0"/>
        </w:rPr>
        <w:t>This letter is delivered for the purposes of the Warranties. The Warranties are given subject to and are qualified by the matters fairly disclosed in this letter and the documents in the disclosure bundle attached at Appendix 2 (the “Disclosure Bundle”).</w:t>
      </w:r>
    </w:p>
    <w:p>
      <w:pPr>
        <w:spacing w:before="200" w:after="60"/>
      </w:pPr>
      <w:r>
        <w:rPr>
          <w:b/>
          <w:color w:val="1F3A5F"/>
          <w:sz w:val="25"/>
        </w:rPr>
        <w:t>2.  General disclosures</w:t>
      </w:r>
    </w:p>
    <w:p>
      <w:pPr>
        <w:spacing w:after="120"/>
      </w:pPr>
      <w:r>
        <w:rPr>
          <w:b w:val="0"/>
          <w:i w:val="0"/>
        </w:rPr>
        <w:t>The Buyer is deemed to have knowledge of, and the Warranties are qualified by, the following:</w:t>
      </w:r>
    </w:p>
    <w:p>
      <w:pPr>
        <w:pStyle w:val="ListBullet"/>
        <w:spacing w:after="60"/>
      </w:pPr>
      <w:r>
        <w:t>all matters provided for or noted in the Accounts and the Management Accounts;</w:t>
      </w:r>
    </w:p>
    <w:p>
      <w:pPr>
        <w:pStyle w:val="ListBullet"/>
        <w:spacing w:after="60"/>
      </w:pPr>
      <w:r>
        <w:t>all matters apparent from the statutory registers of the Company and the records maintained at Companies House, and from searches at the Land Registry and the Intellectual Property Office that a reasonable purchaser would have made;</w:t>
      </w:r>
    </w:p>
    <w:p>
      <w:pPr>
        <w:pStyle w:val="ListBullet"/>
        <w:spacing w:after="60"/>
      </w:pPr>
      <w:r>
        <w:t>all matters contained or referred to in the documents in the data room hosted at Datasite under the project name “Cedar”, an index of which is at Appendix 1; and</w:t>
      </w:r>
    </w:p>
    <w:p>
      <w:pPr>
        <w:pStyle w:val="ListBullet"/>
        <w:spacing w:after="60"/>
      </w:pPr>
      <w:r>
        <w:t>all matters fairly disclosed in the replies to the legal due diligence enquiries dated 26 February 2026 and the supplemental replies dated 19 March 2026.</w:t>
      </w:r>
    </w:p>
    <w:p>
      <w:pPr>
        <w:spacing w:before="200" w:after="60"/>
      </w:pPr>
      <w:r>
        <w:rPr>
          <w:b/>
          <w:color w:val="1F3A5F"/>
          <w:sz w:val="25"/>
        </w:rPr>
        <w:t>3.  Specific disclosures</w:t>
      </w:r>
    </w:p>
    <w:p>
      <w:pPr>
        <w:spacing w:after="120"/>
      </w:pPr>
      <w:r>
        <w:rPr>
          <w:b w:val="0"/>
          <w:i w:val="0"/>
        </w:rPr>
        <w:t>The following specific disclosures are made against the Warranties (references are to the paragraph numbers of Schedule 4 to the Agreement):</w:t>
      </w:r>
    </w:p>
    <w:tbl>
      <w:tblPr>
        <w:tblStyle w:val="TableGrid"/>
        <w:tblW w:type="auto" w:w="0"/>
        <w:jc w:val="center"/>
        <w:tblLook w:firstColumn="1" w:firstRow="1" w:lastColumn="0" w:lastRow="0" w:noHBand="0" w:noVBand="1" w:val="04A0"/>
      </w:tblPr>
      <w:tblGrid>
        <w:gridCol w:w="2448"/>
        <w:gridCol w:w="7200"/>
      </w:tblGrid>
      <w:tr>
        <w:tc>
          <w:tcPr>
            <w:tcW w:type="dxa" w:w="2448"/>
            <w:shd w:val="clear" w:fill="1F3A5F"/>
          </w:tcPr>
          <w:p>
            <w:r/>
            <w:r>
              <w:rPr>
                <w:b/>
                <w:color w:val="FFFFFF"/>
                <w:sz w:val="17"/>
              </w:rPr>
              <w:t>Warranty</w:t>
            </w:r>
          </w:p>
        </w:tc>
        <w:tc>
          <w:tcPr>
            <w:tcW w:type="dxa" w:w="7200"/>
            <w:shd w:val="clear" w:fill="1F3A5F"/>
          </w:tcPr>
          <w:p>
            <w:r/>
            <w:r>
              <w:rPr>
                <w:b/>
                <w:color w:val="FFFFFF"/>
                <w:sz w:val="17"/>
              </w:rPr>
              <w:t>Disclosure</w:t>
            </w:r>
          </w:p>
        </w:tc>
      </w:tr>
      <w:tr>
        <w:tc>
          <w:tcPr>
            <w:tcW w:type="dxa" w:w="2448"/>
          </w:tcPr>
          <w:p>
            <w:r/>
            <w:r>
              <w:rPr>
                <w:sz w:val="17"/>
              </w:rPr>
              <w:t>7 (Contracts)</w:t>
            </w:r>
          </w:p>
        </w:tc>
        <w:tc>
          <w:tcPr>
            <w:tcW w:type="dxa" w:w="7200"/>
          </w:tcPr>
          <w:p>
            <w:r/>
            <w:r>
              <w:rPr>
                <w:sz w:val="17"/>
              </w:rPr>
              <w:t>The Company’s largest supply contract, with Caldera Mobility Systems plc (representing 17% of FY2025 turnover), contains a change-of-control provision at clause 22.3 entitling the customer to terminate on 90 days’ notice on a change of control. A consent request was issued on 3 March 2026; the customer’s consent letter dated 28 April 2026 is at tab 7.1 of the Disclosure Bundle.</w:t>
            </w:r>
          </w:p>
        </w:tc>
      </w:tr>
      <w:tr>
        <w:tc>
          <w:tcPr>
            <w:tcW w:type="dxa" w:w="2448"/>
          </w:tcPr>
          <w:p>
            <w:r/>
            <w:r>
              <w:rPr>
                <w:sz w:val="17"/>
              </w:rPr>
              <w:t>7 (Contracts)</w:t>
            </w:r>
          </w:p>
        </w:tc>
        <w:tc>
          <w:tcPr>
            <w:tcW w:type="dxa" w:w="7200"/>
          </w:tcPr>
          <w:p>
            <w:r/>
            <w:r>
              <w:rPr>
                <w:sz w:val="17"/>
              </w:rPr>
              <w:t>The framework agreement with Aerelon Aviation Group plc dated 2019 expired on 31 December 2025 and is currently operating on a rolling order basis pending renewal. Heads of terms for a renewal are at tab 7.2.</w:t>
            </w:r>
          </w:p>
        </w:tc>
      </w:tr>
      <w:tr>
        <w:tc>
          <w:tcPr>
            <w:tcW w:type="dxa" w:w="2448"/>
          </w:tcPr>
          <w:p>
            <w:r/>
            <w:r>
              <w:rPr>
                <w:sz w:val="17"/>
              </w:rPr>
              <w:t>9 (Intellectual property)</w:t>
            </w:r>
          </w:p>
        </w:tc>
        <w:tc>
          <w:tcPr>
            <w:tcW w:type="dxa" w:w="7200"/>
          </w:tcPr>
          <w:p>
            <w:r/>
            <w:r>
              <w:rPr>
                <w:sz w:val="17"/>
              </w:rPr>
              <w:t>The registered trade mark “Harrowgate” (UK00003248771) is the subject of a non-exclusive co-existence agreement dated 2017 with an unrelated business, Harrowgate Spa Waters Ltd, limited to class 32. A copy is at tab 9.1.</w:t>
            </w:r>
          </w:p>
        </w:tc>
      </w:tr>
      <w:tr>
        <w:tc>
          <w:tcPr>
            <w:tcW w:type="dxa" w:w="2448"/>
          </w:tcPr>
          <w:p>
            <w:r/>
            <w:r>
              <w:rPr>
                <w:sz w:val="17"/>
              </w:rPr>
              <w:t>10 (Litigation)</w:t>
            </w:r>
          </w:p>
        </w:tc>
        <w:tc>
          <w:tcPr>
            <w:tcW w:type="dxa" w:w="7200"/>
          </w:tcPr>
          <w:p>
            <w:r/>
            <w:r>
              <w:rPr>
                <w:sz w:val="17"/>
              </w:rPr>
              <w:t>A former employee, Mr K. Doyle, has intimated (but not issued) an Employment Tribunal claim alleging unfair dismissal. The Company’s grievance file and ACAS early conciliation certificate are at tab 10.1. The Company considers the claim to be without merit. This matter is a specific exclusion from the W&amp;I Policy and is addressed by the £400,000 specific indemnity at clause 9.6.</w:t>
            </w:r>
          </w:p>
        </w:tc>
      </w:tr>
      <w:tr>
        <w:tc>
          <w:tcPr>
            <w:tcW w:type="dxa" w:w="2448"/>
          </w:tcPr>
          <w:p>
            <w:r/>
            <w:r>
              <w:rPr>
                <w:sz w:val="17"/>
              </w:rPr>
              <w:t>11 (Employment)</w:t>
            </w:r>
          </w:p>
        </w:tc>
        <w:tc>
          <w:tcPr>
            <w:tcW w:type="dxa" w:w="7200"/>
          </w:tcPr>
          <w:p>
            <w:r/>
            <w:r>
              <w:rPr>
                <w:sz w:val="17"/>
              </w:rPr>
              <w:t>Three senior employees, including the Operations Director, are on enhanced notice periods of 12 months. Their contracts are at tab 11.1.</w:t>
            </w:r>
          </w:p>
        </w:tc>
      </w:tr>
      <w:tr>
        <w:tc>
          <w:tcPr>
            <w:tcW w:type="dxa" w:w="2448"/>
          </w:tcPr>
          <w:p>
            <w:r/>
            <w:r>
              <w:rPr>
                <w:sz w:val="17"/>
              </w:rPr>
              <w:t>13 (Compliance/regulatory)</w:t>
            </w:r>
          </w:p>
        </w:tc>
        <w:tc>
          <w:tcPr>
            <w:tcW w:type="dxa" w:w="7200"/>
          </w:tcPr>
          <w:p>
            <w:r/>
            <w:r>
              <w:rPr>
                <w:sz w:val="17"/>
              </w:rPr>
              <w:t>The Company’s NADCAP heat-treatment accreditation is due for renewal audit in September 2026; the current certificate expires on 30 September 2026. The renewal application has been submitted (tab 13.1).</w:t>
            </w:r>
          </w:p>
        </w:tc>
      </w:tr>
      <w:tr>
        <w:tc>
          <w:tcPr>
            <w:tcW w:type="dxa" w:w="2448"/>
          </w:tcPr>
          <w:p>
            <w:r/>
            <w:r>
              <w:rPr>
                <w:sz w:val="17"/>
              </w:rPr>
              <w:t>14 (Environmental)</w:t>
            </w:r>
          </w:p>
        </w:tc>
        <w:tc>
          <w:tcPr>
            <w:tcW w:type="dxa" w:w="7200"/>
          </w:tcPr>
          <w:p>
            <w:r/>
            <w:r>
              <w:rPr>
                <w:sz w:val="17"/>
              </w:rPr>
              <w:t>A Phase II environmental site assessment of the Brightside Works dated November 2024 (tab 14.1) identified localised hydrocarbon contamination beneath the former oil store. The estimated remediation cost is £85,000. This is reflected in the net working capital target.</w:t>
            </w:r>
          </w:p>
        </w:tc>
      </w:tr>
      <w:tr>
        <w:tc>
          <w:tcPr>
            <w:tcW w:type="dxa" w:w="2448"/>
          </w:tcPr>
          <w:p>
            <w:r/>
            <w:r>
              <w:rPr>
                <w:sz w:val="17"/>
              </w:rPr>
              <w:t>16 (Tax)</w:t>
            </w:r>
          </w:p>
        </w:tc>
        <w:tc>
          <w:tcPr>
            <w:tcW w:type="dxa" w:w="7200"/>
          </w:tcPr>
          <w:p>
            <w:r/>
            <w:r>
              <w:rPr>
                <w:sz w:val="17"/>
              </w:rPr>
              <w:t>The Company has an open enquiry from HMRC into its R&amp;D tax credit claim for the period ended 31 December 2023, in the amount of £142,000. Correspondence is at tab 16.1. The Sellers’ position is addressed by the Tax Covenant and the specific indemnity at clause 9.7.</w:t>
            </w:r>
          </w:p>
        </w:tc>
      </w:tr>
    </w:tbl>
    <w:p>
      <w:pPr>
        <w:spacing w:before="200" w:after="60"/>
      </w:pPr>
      <w:r>
        <w:rPr>
          <w:b/>
          <w:color w:val="1F3A5F"/>
          <w:sz w:val="25"/>
        </w:rPr>
        <w:t>4.  Effect of disclosure</w:t>
      </w:r>
    </w:p>
    <w:p>
      <w:pPr>
        <w:spacing w:after="120"/>
      </w:pPr>
      <w:r>
        <w:rPr>
          <w:b w:val="0"/>
          <w:i w:val="0"/>
        </w:rPr>
        <w:t>Any disclosure made in this letter or the Disclosure Bundle shall be treated as a disclosure against all of the Warranties to which it is reasonably relevant, notwithstanding that it is set out against a specific Warranty. Inclusion of any matter in this letter is not, and shall not be construed as, an admission of liability or that the matter is material.</w:t>
      </w:r>
    </w:p>
    <w:p>
      <w:pPr>
        <w:spacing w:before="200" w:after="60"/>
      </w:pPr>
      <w:r>
        <w:rPr>
          <w:b/>
          <w:color w:val="1F3A5F"/>
          <w:sz w:val="25"/>
        </w:rPr>
        <w:t>5.  Governing law</w:t>
      </w:r>
    </w:p>
    <w:p>
      <w:pPr>
        <w:spacing w:after="120"/>
      </w:pPr>
      <w:r>
        <w:rPr>
          <w:b w:val="0"/>
          <w:i w:val="0"/>
        </w:rPr>
        <w:t>This letter and any dispute arising out of or in connection with it shall be governed by the law of England and Wales.</w:t>
      </w:r>
    </w:p>
    <w:p>
      <w:pPr>
        <w:spacing w:after="120"/>
      </w:pPr>
    </w:p>
    <w:p>
      <w:pPr>
        <w:spacing w:after="120"/>
      </w:pPr>
      <w:r>
        <w:rPr>
          <w:b w:val="0"/>
          <w:i w:val="0"/>
        </w:rPr>
        <w:t>Yours faithfully</w:t>
      </w:r>
    </w:p>
    <w:p>
      <w:pPr>
        <w:spacing w:after="120"/>
      </w:pPr>
    </w:p>
    <w:p>
      <w:pPr>
        <w:spacing w:after="120"/>
      </w:pPr>
      <w:r>
        <w:rPr>
          <w:b w:val="0"/>
          <w:i w:val="0"/>
        </w:rPr>
        <w:t>_____________________________</w:t>
      </w:r>
    </w:p>
    <w:p>
      <w:pPr>
        <w:spacing w:after="120"/>
      </w:pPr>
      <w:r>
        <w:rPr>
          <w:b w:val="0"/>
          <w:i w:val="0"/>
        </w:rPr>
        <w:t>For and on behalf of the Sellers</w:t>
      </w:r>
    </w:p>
    <w:p>
      <w:pPr>
        <w:spacing w:after="120"/>
      </w:pPr>
    </w:p>
    <w:p>
      <w:pPr>
        <w:spacing w:after="120"/>
      </w:pPr>
      <w:r>
        <w:rPr>
          <w:b w:val="0"/>
          <w:i w:val="0"/>
        </w:rPr>
        <w:t>Acknowledged and received:</w:t>
      </w:r>
    </w:p>
    <w:p>
      <w:pPr>
        <w:spacing w:after="120"/>
      </w:pPr>
      <w:r>
        <w:rPr>
          <w:b w:val="0"/>
          <w:i w:val="0"/>
        </w:rPr>
        <w:t>_____________________________</w:t>
      </w:r>
    </w:p>
    <w:p>
      <w:pPr>
        <w:spacing w:after="120"/>
      </w:pPr>
      <w:r>
        <w:rPr>
          <w:b w:val="0"/>
          <w:i w:val="0"/>
        </w:rPr>
        <w:t>For and on behalf of Crestview Cedar Bidco Limited</w:t>
      </w:r>
    </w:p>
    <w:p>
      <w:pPr>
        <w:spacing w:after="120"/>
      </w:pPr>
    </w:p>
    <w:p>
      <w:pPr>
        <w:spacing w:before="200" w:after="60"/>
      </w:pPr>
      <w:r>
        <w:rPr>
          <w:b/>
          <w:color w:val="1F3A5F"/>
          <w:sz w:val="25"/>
        </w:rPr>
        <w:t>Appendix 1 – Data Room Index (summary)</w:t>
      </w:r>
    </w:p>
    <w:p>
      <w:pPr>
        <w:spacing w:after="120"/>
      </w:pPr>
      <w:r>
        <w:rPr>
          <w:b w:val="0"/>
          <w:i w:val="0"/>
        </w:rPr>
        <w:t>01 Corporate; 02 Accounts &amp; financial; 03 Material contracts; 04 Intellectual property; 05 Property; 06 Employment &amp; pensions; 07 Litigation &amp; disputes; 08 Regulatory &amp; compliance; 09 Insurance; 10 Tax. Full index maintained on Datasite.</w:t>
      </w:r>
    </w:p>
    <w:p>
      <w:pPr>
        <w:spacing w:before="200" w:after="60"/>
      </w:pPr>
      <w:r>
        <w:rPr>
          <w:b/>
          <w:color w:val="1F3A5F"/>
          <w:sz w:val="25"/>
        </w:rPr>
        <w:t>Appendix 2 – Disclosure Bundle</w:t>
      </w:r>
    </w:p>
    <w:p>
      <w:pPr>
        <w:spacing w:after="120"/>
      </w:pPr>
      <w:r>
        <w:rPr>
          <w:b w:val="0"/>
          <w:i w:val="0"/>
        </w:rPr>
        <w:t>Tabs 7.1, 7.2, 9.1, 10.1, 11.1, 13.1, 14.1 and 16.1 as referred to above, paginated 1–148.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color w:val="808080"/>
        <w:sz w:val="15"/>
      </w:rPr>
      <w:t>Whitfield Carter LLP, 22 Bishopsgate, London EC2N 4BQ.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