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t xml:space="preserve">STRICTLY PRIVATE &amp; CONFIDENTIAL – SUBJECT TO CONTRACT</w:t>
      </w:r>
    </w:p>
    <w:p>
      <w:pPr>
        <w:pStyle w:val="Title"/>
      </w:pPr>
      <w:r>
        <w:t xml:space="preserve">HEADS OF TERMS</w:t>
      </w:r>
    </w:p>
    <w:p>
      <w:pPr>
        <w:spacing w:after="120"/>
        <w:jc w:val="center"/>
      </w:pPr>
      <w:r>
        <w:t xml:space="preserve">Project Cedar</w:t>
      </w:r>
    </w:p>
    <w:p>
      <w:pPr>
        <w:spacing w:after="120"/>
        <w:jc w:val="center"/>
      </w:pPr>
      <w:r>
        <w:t xml:space="preserve">Proposed acquisition of Harrowgate Precision Castings Limited</w:t>
      </w:r>
    </w:p>
    <w:p>
      <w:pPr>
        <w:spacing w:after="120"/>
        <w:jc w:val="center"/>
      </w:pPr>
      <w:r>
        <w:t xml:space="preserve">Dated 6 February 2026</w:t>
      </w:r>
    </w:p>
    <w:p>
      <w:pPr>
        <w:spacing w:after="120"/>
      </w:pPr>
      <w:r>
        <w:t xml:space="preserve"/>
      </w:r>
    </w:p>
    <w:p>
      <w:pPr>
        <w:spacing w:after="120"/>
      </w:pPr>
      <w:r>
        <w:t xml:space="preserve">These heads of terms record the principal terms on which Crestview Capital (the "Buyer") proposes to acquire the Target. Save for the paragraphs headed Exclusivity, Costs, Confidentiality and Governing Law (which are intended to be legally binding), these heads of terms are subject to contract and not legally binding.</w:t>
      </w:r>
    </w:p>
    <w:p>
      <w:pPr>
        <w:pStyle w:val="Heading2"/>
      </w:pPr>
      <w:r>
        <w:t xml:space="preserve">1.  Parties</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6826"/>
      </w:tblGrid>
      <w:tr>
        <w:trPr>
          <w:tblHeader/>
        </w:trPr>
        <w:tc>
          <w:tcPr>
            <w:tcW w:type="dxa" w:w="2200"/>
            <w:shd w:fill="1F3A5F" w:val="clear"/>
            <w:tcMar>
              <w:top w:type="dxa" w:w="60"/>
              <w:left w:type="dxa" w:w="110"/>
              <w:bottom w:type="dxa" w:w="60"/>
              <w:right w:type="dxa" w:w="110"/>
            </w:tcMar>
          </w:tcPr>
          <w:p>
            <w:pPr>
              <w:spacing w:after="0"/>
            </w:pPr>
            <w:r>
              <w:rPr>
                <w:b/>
                <w:bCs/>
                <w:color w:val="FFFFFF"/>
                <w:sz w:val="19"/>
                <w:szCs w:val="19"/>
              </w:rPr>
              <w:t xml:space="preserve">Item</w:t>
            </w:r>
          </w:p>
        </w:tc>
        <w:tc>
          <w:tcPr>
            <w:tcW w:type="dxa" w:w="6826"/>
            <w:shd w:fill="1F3A5F" w:val="clear"/>
            <w:tcMar>
              <w:top w:type="dxa" w:w="60"/>
              <w:left w:type="dxa" w:w="110"/>
              <w:bottom w:type="dxa" w:w="60"/>
              <w:right w:type="dxa" w:w="110"/>
            </w:tcMar>
          </w:tcPr>
          <w:p>
            <w:pPr>
              <w:spacing w:after="0"/>
            </w:pPr>
            <w:r>
              <w:rPr>
                <w:b/>
                <w:bCs/>
                <w:color w:val="FFFFFF"/>
                <w:sz w:val="19"/>
                <w:szCs w:val="19"/>
              </w:rPr>
              <w:t xml:space="preserve">Detail</w:t>
            </w:r>
          </w:p>
        </w:tc>
      </w:tr>
      <w:tr>
        <w:trPr>
          <w:tblHeader w:val="false"/>
        </w:trPr>
        <w:tc>
          <w:tcPr>
            <w:tcW w:type="dxa" w:w="2200"/>
            <w:tcMar>
              <w:top w:type="dxa" w:w="60"/>
              <w:left w:type="dxa" w:w="110"/>
              <w:bottom w:type="dxa" w:w="60"/>
              <w:right w:type="dxa" w:w="110"/>
            </w:tcMar>
          </w:tcPr>
          <w:p>
            <w:pPr>
              <w:spacing w:after="0"/>
            </w:pPr>
            <w:r>
              <w:rPr>
                <w:b w:val="false"/>
                <w:bCs w:val="false"/>
                <w:color w:val="000000"/>
                <w:sz w:val="19"/>
                <w:szCs w:val="19"/>
              </w:rPr>
              <w:t xml:space="preserve">Buyer</w:t>
            </w:r>
          </w:p>
        </w:tc>
        <w:tc>
          <w:tcPr>
            <w:tcW w:type="dxa" w:w="6826"/>
            <w:tcMar>
              <w:top w:type="dxa" w:w="60"/>
              <w:left w:type="dxa" w:w="110"/>
              <w:bottom w:type="dxa" w:w="60"/>
              <w:right w:type="dxa" w:w="110"/>
            </w:tcMar>
          </w:tcPr>
          <w:p>
            <w:pPr>
              <w:spacing w:after="0"/>
            </w:pPr>
            <w:r>
              <w:rPr>
                <w:b w:val="false"/>
                <w:bCs w:val="false"/>
                <w:color w:val="000000"/>
                <w:sz w:val="19"/>
                <w:szCs w:val="19"/>
              </w:rPr>
              <w:t xml:space="preserve">Crestview Capital, acting through a newly-incorporated acquisition vehicle ("Bidco")</w:t>
            </w:r>
          </w:p>
        </w:tc>
      </w:tr>
      <w:tr>
        <w:trPr>
          <w:tblHeader w:val="false"/>
        </w:trPr>
        <w:tc>
          <w:tcPr>
            <w:tcW w:type="dxa" w:w="2200"/>
            <w:tcMar>
              <w:top w:type="dxa" w:w="60"/>
              <w:left w:type="dxa" w:w="110"/>
              <w:bottom w:type="dxa" w:w="60"/>
              <w:right w:type="dxa" w:w="110"/>
            </w:tcMar>
          </w:tcPr>
          <w:p>
            <w:pPr>
              <w:spacing w:after="0"/>
            </w:pPr>
            <w:r>
              <w:rPr>
                <w:b w:val="false"/>
                <w:bCs w:val="false"/>
                <w:color w:val="000000"/>
                <w:sz w:val="19"/>
                <w:szCs w:val="19"/>
              </w:rPr>
              <w:t xml:space="preserve">Target</w:t>
            </w:r>
          </w:p>
        </w:tc>
        <w:tc>
          <w:tcPr>
            <w:tcW w:type="dxa" w:w="6826"/>
            <w:tcMar>
              <w:top w:type="dxa" w:w="60"/>
              <w:left w:type="dxa" w:w="110"/>
              <w:bottom w:type="dxa" w:w="60"/>
              <w:right w:type="dxa" w:w="110"/>
            </w:tcMar>
          </w:tcPr>
          <w:p>
            <w:pPr>
              <w:spacing w:after="0"/>
            </w:pPr>
            <w:r>
              <w:rPr>
                <w:b w:val="false"/>
                <w:bCs w:val="false"/>
                <w:color w:val="000000"/>
                <w:sz w:val="19"/>
                <w:szCs w:val="19"/>
              </w:rPr>
              <w:t xml:space="preserve">Harrowgate Precision Castings Limited (registered number 02914886)</w:t>
            </w:r>
          </w:p>
        </w:tc>
      </w:tr>
      <w:tr>
        <w:trPr>
          <w:tblHeader w:val="false"/>
        </w:trPr>
        <w:tc>
          <w:tcPr>
            <w:tcW w:type="dxa" w:w="2200"/>
            <w:tcMar>
              <w:top w:type="dxa" w:w="60"/>
              <w:left w:type="dxa" w:w="110"/>
              <w:bottom w:type="dxa" w:w="60"/>
              <w:right w:type="dxa" w:w="110"/>
            </w:tcMar>
          </w:tcPr>
          <w:p>
            <w:pPr>
              <w:spacing w:after="0"/>
            </w:pPr>
            <w:r>
              <w:rPr>
                <w:b w:val="false"/>
                <w:bCs w:val="false"/>
                <w:color w:val="000000"/>
                <w:sz w:val="19"/>
                <w:szCs w:val="19"/>
              </w:rPr>
              <w:t xml:space="preserve">Sellers</w:t>
            </w:r>
          </w:p>
        </w:tc>
        <w:tc>
          <w:tcPr>
            <w:tcW w:type="dxa" w:w="6826"/>
            <w:tcMar>
              <w:top w:type="dxa" w:w="60"/>
              <w:left w:type="dxa" w:w="110"/>
              <w:bottom w:type="dxa" w:w="60"/>
              <w:right w:type="dxa" w:w="110"/>
            </w:tcMar>
          </w:tcPr>
          <w:p>
            <w:pPr>
              <w:spacing w:after="0"/>
            </w:pPr>
            <w:r>
              <w:rPr>
                <w:b w:val="false"/>
                <w:bCs w:val="false"/>
                <w:color w:val="000000"/>
                <w:sz w:val="19"/>
                <w:szCs w:val="19"/>
              </w:rPr>
              <w:t xml:space="preserve">Geoffrey Harrowgate (62%), Diane Harrowgate (8%) and Penfold Growth Capital LLP (30%)</w:t>
            </w:r>
          </w:p>
        </w:tc>
      </w:tr>
      <w:tr>
        <w:trPr>
          <w:tblHeader w:val="false"/>
        </w:trPr>
        <w:tc>
          <w:tcPr>
            <w:tcW w:type="dxa" w:w="2200"/>
            <w:tcMar>
              <w:top w:type="dxa" w:w="60"/>
              <w:left w:type="dxa" w:w="110"/>
              <w:bottom w:type="dxa" w:w="60"/>
              <w:right w:type="dxa" w:w="110"/>
            </w:tcMar>
          </w:tcPr>
          <w:p>
            <w:pPr>
              <w:spacing w:after="0"/>
            </w:pPr>
            <w:r>
              <w:rPr>
                <w:b w:val="false"/>
                <w:bCs w:val="false"/>
                <w:color w:val="000000"/>
                <w:sz w:val="19"/>
                <w:szCs w:val="19"/>
              </w:rPr>
              <w:t xml:space="preserve">Buyer's solicitors</w:t>
            </w:r>
          </w:p>
        </w:tc>
        <w:tc>
          <w:tcPr>
            <w:tcW w:type="dxa" w:w="6826"/>
            <w:tcMar>
              <w:top w:type="dxa" w:w="60"/>
              <w:left w:type="dxa" w:w="110"/>
              <w:bottom w:type="dxa" w:w="60"/>
              <w:right w:type="dxa" w:w="110"/>
            </w:tcMar>
          </w:tcPr>
          <w:p>
            <w:pPr>
              <w:spacing w:after="0"/>
            </w:pPr>
            <w:r>
              <w:rPr>
                <w:b w:val="false"/>
                <w:bCs w:val="false"/>
                <w:color w:val="000000"/>
                <w:sz w:val="19"/>
                <w:szCs w:val="19"/>
              </w:rPr>
              <w:t xml:space="preserve">Whitfield Carter LLP</w:t>
            </w:r>
          </w:p>
        </w:tc>
      </w:tr>
      <w:tr>
        <w:trPr>
          <w:tblHeader w:val="false"/>
        </w:trPr>
        <w:tc>
          <w:tcPr>
            <w:tcW w:type="dxa" w:w="2200"/>
            <w:tcMar>
              <w:top w:type="dxa" w:w="60"/>
              <w:left w:type="dxa" w:w="110"/>
              <w:bottom w:type="dxa" w:w="60"/>
              <w:right w:type="dxa" w:w="110"/>
            </w:tcMar>
          </w:tcPr>
          <w:p>
            <w:pPr>
              <w:spacing w:after="0"/>
            </w:pPr>
            <w:r>
              <w:rPr>
                <w:b w:val="false"/>
                <w:bCs w:val="false"/>
                <w:color w:val="000000"/>
                <w:sz w:val="19"/>
                <w:szCs w:val="19"/>
              </w:rPr>
              <w:t xml:space="preserve">Sellers' solicitors</w:t>
            </w:r>
          </w:p>
        </w:tc>
        <w:tc>
          <w:tcPr>
            <w:tcW w:type="dxa" w:w="6826"/>
            <w:tcMar>
              <w:top w:type="dxa" w:w="60"/>
              <w:left w:type="dxa" w:w="110"/>
              <w:bottom w:type="dxa" w:w="60"/>
              <w:right w:type="dxa" w:w="110"/>
            </w:tcMar>
          </w:tcPr>
          <w:p>
            <w:pPr>
              <w:spacing w:after="0"/>
            </w:pPr>
            <w:r>
              <w:rPr>
                <w:b w:val="false"/>
                <w:bCs w:val="false"/>
                <w:color w:val="000000"/>
                <w:sz w:val="19"/>
                <w:szCs w:val="19"/>
              </w:rPr>
              <w:t xml:space="preserve">Castle &amp; Vane LLP</w:t>
            </w:r>
          </w:p>
        </w:tc>
      </w:tr>
    </w:tbl>
    <w:p>
      <w:pPr>
        <w:pStyle w:val="Heading2"/>
      </w:pPr>
      <w:r>
        <w:t xml:space="preserve">2.  Structure and consideration</w:t>
      </w:r>
    </w:p>
    <w:p>
      <w:pPr>
        <w:spacing w:after="120"/>
      </w:pPr>
      <w:r>
        <w:t xml:space="preserve">The Buyer will acquire 100% of the issued share capital of the Target. The transaction is structured on a cash-free, debt-free basis with a normalised working-capital adjustment.</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5500"/>
        <w:gridCol w:w="3526"/>
      </w:tblGrid>
      <w:tr>
        <w:trPr>
          <w:tblHeader/>
        </w:trPr>
        <w:tc>
          <w:tcPr>
            <w:tcW w:type="dxa" w:w="5500"/>
            <w:shd w:fill="1F3A5F" w:val="clear"/>
            <w:tcMar>
              <w:top w:type="dxa" w:w="60"/>
              <w:left w:type="dxa" w:w="110"/>
              <w:bottom w:type="dxa" w:w="60"/>
              <w:right w:type="dxa" w:w="110"/>
            </w:tcMar>
          </w:tcPr>
          <w:p>
            <w:pPr>
              <w:spacing w:after="0"/>
            </w:pPr>
            <w:r>
              <w:rPr>
                <w:b/>
                <w:bCs/>
                <w:color w:val="FFFFFF"/>
                <w:sz w:val="19"/>
                <w:szCs w:val="19"/>
              </w:rPr>
              <w:t xml:space="preserve">Component</w:t>
            </w:r>
          </w:p>
        </w:tc>
        <w:tc>
          <w:tcPr>
            <w:tcW w:type="dxa" w:w="3526"/>
            <w:shd w:fill="1F3A5F" w:val="clear"/>
            <w:tcMar>
              <w:top w:type="dxa" w:w="60"/>
              <w:left w:type="dxa" w:w="110"/>
              <w:bottom w:type="dxa" w:w="60"/>
              <w:right w:type="dxa" w:w="110"/>
            </w:tcMar>
          </w:tcPr>
          <w:p>
            <w:pPr>
              <w:spacing w:after="0"/>
            </w:pPr>
            <w:r>
              <w:rPr>
                <w:b/>
                <w:bCs/>
                <w:color w:val="FFFFFF"/>
                <w:sz w:val="19"/>
                <w:szCs w:val="19"/>
              </w:rPr>
              <w:t xml:space="preserve">Amount (£)</w:t>
            </w:r>
          </w:p>
        </w:tc>
      </w:tr>
      <w:tr>
        <w:trPr>
          <w:tblHeader w:val="false"/>
        </w:trPr>
        <w:tc>
          <w:tcPr>
            <w:tcW w:type="dxa" w:w="5500"/>
            <w:tcMar>
              <w:top w:type="dxa" w:w="60"/>
              <w:left w:type="dxa" w:w="110"/>
              <w:bottom w:type="dxa" w:w="60"/>
              <w:right w:type="dxa" w:w="110"/>
            </w:tcMar>
          </w:tcPr>
          <w:p>
            <w:pPr>
              <w:spacing w:after="0"/>
            </w:pPr>
            <w:r>
              <w:rPr>
                <w:b w:val="false"/>
                <w:bCs w:val="false"/>
                <w:color w:val="000000"/>
                <w:sz w:val="19"/>
                <w:szCs w:val="19"/>
              </w:rPr>
              <w:t xml:space="preserve">Enterprise value</w:t>
            </w:r>
          </w:p>
        </w:tc>
        <w:tc>
          <w:tcPr>
            <w:tcW w:type="dxa" w:w="3526"/>
            <w:tcMar>
              <w:top w:type="dxa" w:w="60"/>
              <w:left w:type="dxa" w:w="110"/>
              <w:bottom w:type="dxa" w:w="60"/>
              <w:right w:type="dxa" w:w="110"/>
            </w:tcMar>
          </w:tcPr>
          <w:p>
            <w:pPr>
              <w:spacing w:after="0"/>
            </w:pPr>
            <w:r>
              <w:rPr>
                <w:b w:val="false"/>
                <w:bCs w:val="false"/>
                <w:color w:val="000000"/>
                <w:sz w:val="19"/>
                <w:szCs w:val="19"/>
              </w:rPr>
              <w:t xml:space="preserve">£41,500,000</w:t>
            </w:r>
          </w:p>
        </w:tc>
      </w:tr>
      <w:tr>
        <w:trPr>
          <w:tblHeader w:val="false"/>
        </w:trPr>
        <w:tc>
          <w:tcPr>
            <w:tcW w:type="dxa" w:w="5500"/>
            <w:tcMar>
              <w:top w:type="dxa" w:w="60"/>
              <w:left w:type="dxa" w:w="110"/>
              <w:bottom w:type="dxa" w:w="60"/>
              <w:right w:type="dxa" w:w="110"/>
            </w:tcMar>
          </w:tcPr>
          <w:p>
            <w:pPr>
              <w:spacing w:after="0"/>
            </w:pPr>
            <w:r>
              <w:rPr>
                <w:b w:val="false"/>
                <w:bCs w:val="false"/>
                <w:color w:val="000000"/>
                <w:sz w:val="19"/>
                <w:szCs w:val="19"/>
              </w:rPr>
              <w:t xml:space="preserve">Less: estimated net debt at Completion</w:t>
            </w:r>
          </w:p>
        </w:tc>
        <w:tc>
          <w:tcPr>
            <w:tcW w:type="dxa" w:w="3526"/>
            <w:tcMar>
              <w:top w:type="dxa" w:w="60"/>
              <w:left w:type="dxa" w:w="110"/>
              <w:bottom w:type="dxa" w:w="60"/>
              <w:right w:type="dxa" w:w="110"/>
            </w:tcMar>
          </w:tcPr>
          <w:p>
            <w:pPr>
              <w:spacing w:after="0"/>
            </w:pPr>
            <w:r>
              <w:rPr>
                <w:b w:val="false"/>
                <w:bCs w:val="false"/>
                <w:color w:val="000000"/>
                <w:sz w:val="19"/>
                <w:szCs w:val="19"/>
              </w:rPr>
              <w:t xml:space="preserve">(£2,350,000)</w:t>
            </w:r>
          </w:p>
        </w:tc>
      </w:tr>
      <w:tr>
        <w:trPr>
          <w:tblHeader w:val="false"/>
        </w:trPr>
        <w:tc>
          <w:tcPr>
            <w:tcW w:type="dxa" w:w="5500"/>
            <w:tcMar>
              <w:top w:type="dxa" w:w="60"/>
              <w:left w:type="dxa" w:w="110"/>
              <w:bottom w:type="dxa" w:w="60"/>
              <w:right w:type="dxa" w:w="110"/>
            </w:tcMar>
          </w:tcPr>
          <w:p>
            <w:pPr>
              <w:spacing w:after="0"/>
            </w:pPr>
            <w:r>
              <w:rPr>
                <w:b w:val="false"/>
                <w:bCs w:val="false"/>
                <w:color w:val="000000"/>
                <w:sz w:val="19"/>
                <w:szCs w:val="19"/>
              </w:rPr>
              <w:t xml:space="preserve">Working-capital adjustment (below target)</w:t>
            </w:r>
          </w:p>
        </w:tc>
        <w:tc>
          <w:tcPr>
            <w:tcW w:type="dxa" w:w="3526"/>
            <w:tcMar>
              <w:top w:type="dxa" w:w="60"/>
              <w:left w:type="dxa" w:w="110"/>
              <w:bottom w:type="dxa" w:w="60"/>
              <w:right w:type="dxa" w:w="110"/>
            </w:tcMar>
          </w:tcPr>
          <w:p>
            <w:pPr>
              <w:spacing w:after="0"/>
            </w:pPr>
            <w:r>
              <w:rPr>
                <w:b w:val="false"/>
                <w:bCs w:val="false"/>
                <w:color w:val="000000"/>
                <w:sz w:val="19"/>
                <w:szCs w:val="19"/>
              </w:rPr>
              <w:t xml:space="preserve">(£950,000)</w:t>
            </w:r>
          </w:p>
        </w:tc>
      </w:tr>
      <w:tr>
        <w:trPr>
          <w:tblHeader w:val="false"/>
        </w:trPr>
        <w:tc>
          <w:tcPr>
            <w:tcW w:type="dxa" w:w="5500"/>
            <w:tcMar>
              <w:top w:type="dxa" w:w="60"/>
              <w:left w:type="dxa" w:w="110"/>
              <w:bottom w:type="dxa" w:w="60"/>
              <w:right w:type="dxa" w:w="110"/>
            </w:tcMar>
          </w:tcPr>
          <w:p>
            <w:pPr>
              <w:spacing w:after="0"/>
            </w:pPr>
            <w:r>
              <w:rPr>
                <w:b w:val="false"/>
                <w:bCs w:val="false"/>
                <w:color w:val="000000"/>
                <w:sz w:val="19"/>
                <w:szCs w:val="19"/>
              </w:rPr>
              <w:t xml:space="preserve">Equity value (headline consideration)</w:t>
            </w:r>
          </w:p>
        </w:tc>
        <w:tc>
          <w:tcPr>
            <w:tcW w:type="dxa" w:w="3526"/>
            <w:tcMar>
              <w:top w:type="dxa" w:w="60"/>
              <w:left w:type="dxa" w:w="110"/>
              <w:bottom w:type="dxa" w:w="60"/>
              <w:right w:type="dxa" w:w="110"/>
            </w:tcMar>
          </w:tcPr>
          <w:p>
            <w:pPr>
              <w:spacing w:after="0"/>
            </w:pPr>
            <w:r>
              <w:rPr>
                <w:b w:val="false"/>
                <w:bCs w:val="false"/>
                <w:color w:val="000000"/>
                <w:sz w:val="19"/>
                <w:szCs w:val="19"/>
              </w:rPr>
              <w:t xml:space="preserve">£38,200,000</w:t>
            </w:r>
          </w:p>
        </w:tc>
      </w:tr>
      <w:tr>
        <w:trPr>
          <w:tblHeader w:val="false"/>
        </w:trPr>
        <w:tc>
          <w:tcPr>
            <w:tcW w:type="dxa" w:w="5500"/>
            <w:tcMar>
              <w:top w:type="dxa" w:w="60"/>
              <w:left w:type="dxa" w:w="110"/>
              <w:bottom w:type="dxa" w:w="60"/>
              <w:right w:type="dxa" w:w="110"/>
            </w:tcMar>
          </w:tcPr>
          <w:p>
            <w:pPr>
              <w:spacing w:after="0"/>
            </w:pPr>
            <w:r>
              <w:rPr>
                <w:b w:val="false"/>
                <w:bCs w:val="false"/>
                <w:color w:val="000000"/>
                <w:sz w:val="19"/>
                <w:szCs w:val="19"/>
              </w:rPr>
              <w:t xml:space="preserve">Payable in cash on Completion</w:t>
            </w:r>
          </w:p>
        </w:tc>
        <w:tc>
          <w:tcPr>
            <w:tcW w:type="dxa" w:w="3526"/>
            <w:tcMar>
              <w:top w:type="dxa" w:w="60"/>
              <w:left w:type="dxa" w:w="110"/>
              <w:bottom w:type="dxa" w:w="60"/>
              <w:right w:type="dxa" w:w="110"/>
            </w:tcMar>
          </w:tcPr>
          <w:p>
            <w:pPr>
              <w:spacing w:after="0"/>
            </w:pPr>
            <w:r>
              <w:rPr>
                <w:b w:val="false"/>
                <w:bCs w:val="false"/>
                <w:color w:val="000000"/>
                <w:sz w:val="19"/>
                <w:szCs w:val="19"/>
              </w:rPr>
              <w:t xml:space="preserve">£35,200,000</w:t>
            </w:r>
          </w:p>
        </w:tc>
      </w:tr>
      <w:tr>
        <w:trPr>
          <w:tblHeader w:val="false"/>
        </w:trPr>
        <w:tc>
          <w:tcPr>
            <w:tcW w:type="dxa" w:w="5500"/>
            <w:tcMar>
              <w:top w:type="dxa" w:w="60"/>
              <w:left w:type="dxa" w:w="110"/>
              <w:bottom w:type="dxa" w:w="60"/>
              <w:right w:type="dxa" w:w="110"/>
            </w:tcMar>
          </w:tcPr>
          <w:p>
            <w:pPr>
              <w:spacing w:after="0"/>
            </w:pPr>
            <w:r>
              <w:rPr>
                <w:b w:val="false"/>
                <w:bCs w:val="false"/>
                <w:color w:val="000000"/>
                <w:sz w:val="19"/>
                <w:szCs w:val="19"/>
              </w:rPr>
              <w:t xml:space="preserve">Deferred consideration (payable 12 months after Completion)</w:t>
            </w:r>
          </w:p>
        </w:tc>
        <w:tc>
          <w:tcPr>
            <w:tcW w:type="dxa" w:w="3526"/>
            <w:tcMar>
              <w:top w:type="dxa" w:w="60"/>
              <w:left w:type="dxa" w:w="110"/>
              <w:bottom w:type="dxa" w:w="60"/>
              <w:right w:type="dxa" w:w="110"/>
            </w:tcMar>
          </w:tcPr>
          <w:p>
            <w:pPr>
              <w:spacing w:after="0"/>
            </w:pPr>
            <w:r>
              <w:rPr>
                <w:b w:val="false"/>
                <w:bCs w:val="false"/>
                <w:color w:val="000000"/>
                <w:sz w:val="19"/>
                <w:szCs w:val="19"/>
              </w:rPr>
              <w:t xml:space="preserve">£3,000,000</w:t>
            </w:r>
          </w:p>
        </w:tc>
      </w:tr>
      <w:tr>
        <w:trPr>
          <w:tblHeader w:val="false"/>
        </w:trPr>
        <w:tc>
          <w:tcPr>
            <w:tcW w:type="dxa" w:w="5500"/>
            <w:tcMar>
              <w:top w:type="dxa" w:w="60"/>
              <w:left w:type="dxa" w:w="110"/>
              <w:bottom w:type="dxa" w:w="60"/>
              <w:right w:type="dxa" w:w="110"/>
            </w:tcMar>
          </w:tcPr>
          <w:p>
            <w:pPr>
              <w:spacing w:after="0"/>
            </w:pPr>
            <w:r>
              <w:rPr>
                <w:b w:val="false"/>
                <w:bCs w:val="false"/>
                <w:color w:val="000000"/>
                <w:sz w:val="19"/>
                <w:szCs w:val="19"/>
              </w:rPr>
              <w:t xml:space="preserve">Of which held in retention escrow (warranty claims, 12 months)</w:t>
            </w:r>
          </w:p>
        </w:tc>
        <w:tc>
          <w:tcPr>
            <w:tcW w:type="dxa" w:w="3526"/>
            <w:tcMar>
              <w:top w:type="dxa" w:w="60"/>
              <w:left w:type="dxa" w:w="110"/>
              <w:bottom w:type="dxa" w:w="60"/>
              <w:right w:type="dxa" w:w="110"/>
            </w:tcMar>
          </w:tcPr>
          <w:p>
            <w:pPr>
              <w:spacing w:after="0"/>
            </w:pPr>
            <w:r>
              <w:rPr>
                <w:b w:val="false"/>
                <w:bCs w:val="false"/>
                <w:color w:val="000000"/>
                <w:sz w:val="19"/>
                <w:szCs w:val="19"/>
              </w:rPr>
              <w:t xml:space="preserve">£1,200,000</w:t>
            </w:r>
          </w:p>
        </w:tc>
      </w:tr>
    </w:tbl>
    <w:p>
      <w:pPr>
        <w:spacing w:after="120"/>
      </w:pPr>
      <w:r>
        <w:t xml:space="preserve">The enterprise value of £41,500,000 represents an implied multiple of approximately 6.8x the Target's FY2025 adjusted EBITDA of £6.1m.</w:t>
      </w:r>
    </w:p>
    <w:p>
      <w:pPr>
        <w:pStyle w:val="Heading2"/>
      </w:pPr>
      <w:r>
        <w:t xml:space="preserve">3.  Conditions</w:t>
      </w:r>
    </w:p>
    <w:p>
      <w:pPr>
        <w:pStyle w:val="ListParagraph"/>
        <w:numPr>
          <w:ilvl w:val="0"/>
          <w:numId w:val="2"/>
        </w:numPr>
        <w:spacing w:after="80"/>
      </w:pPr>
      <w:r>
        <w:t xml:space="preserve">Satisfactory completion of legal, financial and tax due diligence by the Buyer.</w:t>
      </w:r>
    </w:p>
    <w:p>
      <w:pPr>
        <w:pStyle w:val="ListParagraph"/>
        <w:numPr>
          <w:ilvl w:val="0"/>
          <w:numId w:val="2"/>
        </w:numPr>
        <w:spacing w:after="80"/>
      </w:pPr>
      <w:r>
        <w:t xml:space="preserve">Agreement and execution of a share purchase agreement and all ancillary documents.</w:t>
      </w:r>
    </w:p>
    <w:p>
      <w:pPr>
        <w:pStyle w:val="ListParagraph"/>
        <w:numPr>
          <w:ilvl w:val="0"/>
          <w:numId w:val="2"/>
        </w:numPr>
        <w:spacing w:after="80"/>
      </w:pPr>
      <w:r>
        <w:t xml:space="preserve">Binding warranty and indemnity insurance in place at exchange.</w:t>
      </w:r>
    </w:p>
    <w:p>
      <w:pPr>
        <w:pStyle w:val="ListParagraph"/>
        <w:numPr>
          <w:ilvl w:val="0"/>
          <w:numId w:val="2"/>
        </w:numPr>
        <w:spacing w:after="80"/>
      </w:pPr>
      <w:r>
        <w:t xml:space="preserve">No material adverse change in the business of the Target prior to Completion.</w:t>
      </w:r>
    </w:p>
    <w:p>
      <w:pPr>
        <w:pStyle w:val="ListParagraph"/>
        <w:numPr>
          <w:ilvl w:val="0"/>
          <w:numId w:val="2"/>
        </w:numPr>
        <w:spacing w:after="80"/>
      </w:pPr>
      <w:r>
        <w:t xml:space="preserve">Continued employment of Geoffrey Harrowgate under a 24-month service agreement and agreed restrictive covenants from each Seller.</w:t>
      </w:r>
    </w:p>
    <w:p>
      <w:pPr>
        <w:pStyle w:val="Heading2"/>
      </w:pPr>
      <w:r>
        <w:t xml:space="preserve">4.  Warranties and W&amp;I insurance</w:t>
      </w:r>
    </w:p>
    <w:p>
      <w:pPr>
        <w:spacing w:after="120"/>
      </w:pPr>
      <w:r>
        <w:t xml:space="preserve">The Sellers will give customary business warranties and a tax covenant. The Buyer intends to procure a buy-side warranty and indemnity insurance policy. Recourse against the Sellers for breach of the general (non-fundamental) warranties is intended to be capped at a nominal £1, with the Buyer's recourse being to the W&amp;I policy, save in respect of the fundamental warranties, the tax covenant and seller fraud.</w:t>
      </w:r>
    </w:p>
    <w:p>
      <w:pPr>
        <w:pStyle w:val="Heading2"/>
      </w:pPr>
      <w:r>
        <w:t xml:space="preserve">5.  Exclusivity (binding)</w:t>
      </w:r>
    </w:p>
    <w:p>
      <w:pPr>
        <w:spacing w:after="120"/>
      </w:pPr>
      <w:r>
        <w:t xml:space="preserve">In consideration of the Buyer incurring costs, the Sellers grant the Buyer a period of exclusivity from the date of these heads of terms until 1 April 2026 (the "Exclusivity Period"), during which the Sellers shall not solicit, encourage or enter into discussions with any other party in relation to a sale of the Target or its business.</w:t>
      </w:r>
    </w:p>
    <w:p>
      <w:pPr>
        <w:pStyle w:val="Heading2"/>
      </w:pPr>
      <w:r>
        <w:t xml:space="preserve">6.  Costs (binding)</w:t>
      </w:r>
    </w:p>
    <w:p>
      <w:pPr>
        <w:spacing w:after="120"/>
      </w:pPr>
      <w:r>
        <w:t xml:space="preserve">Each party shall bear its own costs in connection with the Proposed Transaction.</w:t>
      </w:r>
    </w:p>
    <w:p>
      <w:pPr>
        <w:pStyle w:val="Heading2"/>
      </w:pPr>
      <w:r>
        <w:t xml:space="preserve">7.  Confidentiality (binding)</w:t>
      </w:r>
    </w:p>
    <w:p>
      <w:pPr>
        <w:spacing w:after="120"/>
      </w:pPr>
      <w:r>
        <w:t xml:space="preserve">The parties shall keep the existence and terms of these heads of terms and the negotiations confidential, in accordance with the confidentiality agreement dated 22 January 2026.</w:t>
      </w:r>
    </w:p>
    <w:p>
      <w:pPr>
        <w:pStyle w:val="Heading2"/>
      </w:pPr>
      <w:r>
        <w:t xml:space="preserve">8.  Governing law (binding)</w:t>
      </w:r>
    </w:p>
    <w:p>
      <w:pPr>
        <w:spacing w:after="120"/>
      </w:pPr>
      <w:r>
        <w:t xml:space="preserve">These heads of terms are governed by the law of England and Wales.</w:t>
      </w:r>
    </w:p>
    <w:p>
      <w:pPr>
        <w:spacing w:after="120"/>
      </w:pPr>
      <w:r>
        <w:t xml:space="preserve"/>
      </w:r>
    </w:p>
    <w:p>
      <w:pPr>
        <w:spacing w:after="120"/>
      </w:pPr>
      <w:r>
        <w:t xml:space="preserve">Agreed on behalf of the Buyer: ____________________  Daniel Reeve, Crestview Capital</w:t>
      </w:r>
    </w:p>
    <w:p>
      <w:pPr>
        <w:spacing w:after="120"/>
      </w:pPr>
      <w:r>
        <w:t xml:space="preserve">Agreed on behalf of the Sellers: ____________________  Geoffrey Harrowgate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026"/>
      </w:tabs>
      <w:spacing w:after="0" w:before="80"/>
    </w:pPr>
    <w:r>
      <w:rPr>
        <w:color w:val="808080"/>
        <w:sz w:val="14"/>
        <w:szCs w:val="14"/>
      </w:rPr>
      <w:t xml:space="preserve">Project Cedar – Heads of Terms</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p>
    <w:pPr>
      <w:spacing w:after="0"/>
    </w:pPr>
    <w:r>
      <w:rPr>
        <w:i/>
        <w:iCs/>
        <w:color w:val="808080"/>
        <w:sz w:val="13"/>
        <w:szCs w:val="13"/>
      </w:rPr>
      <w:t xml:space="preserve">Whitfield Carter LLP is a limited liability partnership registered in England and Wales (OC417362). Authorised and regulated by the Solicitors Regulation Authority. Confidential and may be legally privileged.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A5F"/>
        <w:sz w:val="30"/>
        <w:szCs w:val="30"/>
      </w:rPr>
      <w:t xml:space="preserve">Whitfield Carter LLP</w:t>
    </w:r>
  </w:p>
  <w:p>
    <w:pPr>
      <w:pBdr>
        <w:bottom w:val="single" w:color="1F3A5F" w:sz="6" w:space="2"/>
      </w:pBdr>
      <w:spacing w:after="0"/>
    </w:pPr>
    <w:r>
      <w:rPr>
        <w:color w:val="595959"/>
        <w:sz w:val="15"/>
        <w:szCs w:val="15"/>
      </w:rPr>
      <w:t xml:space="preserve">22 Bishopsgate, London EC2N 4BQ  •  +44 (0)20 7946 0820  •  www.whitfieldcarter.com</w:t>
    </w:r>
  </w:p>
  <w:p>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lvl w:ilvl="2" w15:tentative="1">
      <w:start w:val="1"/>
      <w:numFmt w:val="lowerLetter"/>
      <w:lvlText w:val="(%3)"/>
      <w:lvlJc w:val="left"/>
      <w:pPr>
        <w:ind w:left="1701" w:hanging="567"/>
      </w:pPr>
    </w:lvl>
    <w:lvl w:ilvl="3" w15:tentative="1">
      <w:start w:val="1"/>
      <w:numFmt w:val="lowerRoman"/>
      <w:lvlText w:val="(%4)"/>
      <w:lvlJc w:val="left"/>
      <w:pPr>
        <w:ind w:left="2268"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 w:type="paragraph" w:styleId="Title">
    <w:name w:val="Title"/>
    <w:basedOn w:val="Normal"/>
    <w:next w:val="Normal"/>
    <w:pPr>
      <w:spacing w:after="240" w:before="0"/>
      <w:jc w:val="center"/>
    </w:pPr>
    <w:rPr>
      <w:rFonts w:ascii="Calibri" w:cs="Calibri" w:eastAsia="Calibri" w:hAnsi="Calibri"/>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2026-06-28T00:15:40.088Z</dcterms:created>
  <dcterms:modified xsi:type="dcterms:W3CDTF">2026-06-28T00:15:40.088Z</dcterms:modified>
</cp:coreProperties>
</file>

<file path=docProps/custom.xml><?xml version="1.0" encoding="utf-8"?>
<Properties xmlns="http://schemas.openxmlformats.org/officeDocument/2006/custom-properties" xmlns:vt="http://schemas.openxmlformats.org/officeDocument/2006/docPropsVTypes"/>
</file>