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CONFIDENTIALITY AGREEMENT</w:t>
      </w:r>
    </w:p>
    <w:p>
      <w:pPr>
        <w:spacing w:after="120"/>
        <w:jc w:val="center"/>
      </w:pPr>
      <w:r>
        <w:t xml:space="preserve">Project Cedar</w:t>
      </w:r>
    </w:p>
    <w:p>
      <w:pPr>
        <w:spacing w:after="120"/>
        <w:jc w:val="center"/>
      </w:pPr>
      <w:r>
        <w:t xml:space="preserve">DATED 22 January 2026</w:t>
      </w:r>
    </w:p>
    <w:p>
      <w:pPr>
        <w:spacing w:after="120"/>
      </w:pPr>
      <w:r>
        <w:t xml:space="preserve"/>
      </w:r>
    </w:p>
    <w:p>
      <w:pPr>
        <w:pStyle w:val="Heading2"/>
      </w:pPr>
      <w:r>
        <w:t xml:space="preserve">PARTIES</w:t>
      </w:r>
    </w:p>
    <w:p>
      <w:pPr>
        <w:pStyle w:val="ListParagraph"/>
        <w:numPr>
          <w:ilvl w:val="0"/>
          <w:numId w:val="2"/>
        </w:numPr>
        <w:spacing w:after="100"/>
      </w:pPr>
      <w:r>
        <w:t xml:space="preserve">(1)  </w:t>
      </w:r>
      <w:r>
        <w:rPr>
          <w:b/>
          <w:bCs/>
        </w:rPr>
        <w:t xml:space="preserve">Crestview Capital</w:t>
      </w:r>
      <w:r>
        <w:t xml:space="preserve">, an investment firm whose principal place of business is at Devonshire House, 1 Mayfair Place, London W1J 8AJ (the "Recipient"); and</w:t>
      </w:r>
    </w:p>
    <w:p>
      <w:pPr>
        <w:pStyle w:val="ListParagraph"/>
        <w:numPr>
          <w:ilvl w:val="0"/>
          <w:numId w:val="2"/>
        </w:numPr>
        <w:spacing w:after="100"/>
      </w:pPr>
      <w:r>
        <w:t xml:space="preserve">(2)  </w:t>
      </w:r>
      <w:r>
        <w:rPr>
          <w:b/>
          <w:bCs/>
        </w:rPr>
        <w:t xml:space="preserve">Harrowgate Precision Castings Limited</w:t>
      </w:r>
      <w:r>
        <w:t xml:space="preserve">, a company incorporated in England and Wales (registered number 02914886) whose registered office is at Brightside Works, Carlisle Street East, Sheffield S4 7QN (the "Disclosing Party").</w:t>
      </w:r>
    </w:p>
    <w:p>
      <w:pPr>
        <w:pStyle w:val="Heading2"/>
      </w:pPr>
      <w:r>
        <w:t xml:space="preserve">BACKGROUND</w:t>
      </w:r>
    </w:p>
    <w:p>
      <w:pPr>
        <w:spacing w:after="120"/>
      </w:pPr>
      <w:r>
        <w:t xml:space="preserve">(A)  The Disclosing Party and the Recipient are discussing a possible transaction involving the acquisition by the Recipient (or a member of its group) of the entire issued share capital of the Disclosing Party (the "Proposed Transaction").</w:t>
      </w:r>
    </w:p>
    <w:p>
      <w:pPr>
        <w:spacing w:after="120"/>
      </w:pPr>
      <w:r>
        <w:t xml:space="preserve">(B)  In connection with the Proposed Transaction, the Disclosing Party may disclose Confidential Information to the Recipient. This Agreement sets out the terms on which such Confidential Information is disclosed.</w:t>
      </w:r>
    </w:p>
    <w:p>
      <w:pPr>
        <w:pStyle w:val="Heading1"/>
      </w:pPr>
      <w:r>
        <w:t xml:space="preserve">AGREED TERMS</w:t>
      </w:r>
    </w:p>
    <w:p>
      <w:pPr>
        <w:pStyle w:val="ListParagraph"/>
        <w:numPr>
          <w:ilvl w:val="0"/>
          <w:numId w:val="2"/>
        </w:numPr>
        <w:spacing w:after="100"/>
      </w:pPr>
      <w:r>
        <w:rPr>
          <w:b/>
          <w:bCs/>
        </w:rPr>
        <w:t xml:space="preserve">Definitions. </w:t>
      </w:r>
      <w:r>
        <w:t xml:space="preserve">In this Agreement: "Confidential Information" means all information (in whatever form) relating to the business, customers, suppliers, financial affairs, operations, products, processes, know-how and trade secrets of the Disclosing Party or any member of its group disclosed to the Recipient or its Representatives in connection with the Proposed Transaction, together with the fact that discussions are taking place; "Representatives" means the Recipient's directors, officers, employees, professional advisers, prospective financiers and their respective advisers; and "Permitted Purpose" means evaluating, negotiating and implementing the Proposed Transaction.</w:t>
      </w:r>
    </w:p>
    <w:p>
      <w:pPr>
        <w:pStyle w:val="ListParagraph"/>
        <w:numPr>
          <w:ilvl w:val="0"/>
          <w:numId w:val="2"/>
        </w:numPr>
        <w:spacing w:after="100"/>
      </w:pPr>
      <w:r>
        <w:rPr>
          <w:b/>
          <w:bCs/>
        </w:rPr>
        <w:t xml:space="preserve">Confidentiality undertakings. </w:t>
      </w:r>
      <w:r>
        <w:t xml:space="preserve">The Recipient undertakes that it shall:</w:t>
      </w:r>
    </w:p>
    <w:p>
      <w:pPr>
        <w:pStyle w:val="ListParagraph"/>
        <w:numPr>
          <w:ilvl w:val="2"/>
          <w:numId w:val="2"/>
        </w:numPr>
        <w:spacing w:after="100"/>
      </w:pPr>
      <w:r>
        <w:t xml:space="preserve">keep the Confidential Information secret and confidential and not disclose it to any person except as permitted by clause 3;</w:t>
      </w:r>
    </w:p>
    <w:p>
      <w:pPr>
        <w:pStyle w:val="ListParagraph"/>
        <w:numPr>
          <w:ilvl w:val="2"/>
          <w:numId w:val="2"/>
        </w:numPr>
        <w:spacing w:after="100"/>
      </w:pPr>
      <w:r>
        <w:t xml:space="preserve">use the Confidential Information only for the Permitted Purpose;</w:t>
      </w:r>
    </w:p>
    <w:p>
      <w:pPr>
        <w:pStyle w:val="ListParagraph"/>
        <w:numPr>
          <w:ilvl w:val="2"/>
          <w:numId w:val="2"/>
        </w:numPr>
        <w:spacing w:after="100"/>
      </w:pPr>
      <w:r>
        <w:t xml:space="preserve">apply the same security measures and degree of care to the Confidential Information as it applies to its own confidential information, being at least a reasonable degree of care; and</w:t>
      </w:r>
    </w:p>
    <w:p>
      <w:pPr>
        <w:pStyle w:val="ListParagraph"/>
        <w:numPr>
          <w:ilvl w:val="2"/>
          <w:numId w:val="2"/>
        </w:numPr>
        <w:spacing w:after="100"/>
      </w:pPr>
      <w:r>
        <w:t xml:space="preserve">not make any copies of the Confidential Information except to the extent reasonably necessary for the Permitted Purpose.</w:t>
      </w:r>
    </w:p>
    <w:p>
      <w:pPr>
        <w:pStyle w:val="ListParagraph"/>
        <w:numPr>
          <w:ilvl w:val="0"/>
          <w:numId w:val="2"/>
        </w:numPr>
        <w:spacing w:after="100"/>
      </w:pPr>
      <w:r>
        <w:rPr>
          <w:b/>
          <w:bCs/>
        </w:rPr>
        <w:t xml:space="preserve">Permitted disclosures. </w:t>
      </w:r>
      <w:r>
        <w:t xml:space="preserve">The Recipient may disclose Confidential Information to its Representatives who need to know it for the Permitted Purpose, provided that the Recipient procures that each such Representative is made aware of, and complies with, the confidentiality obligations in this Agreement as if it were a party. The Recipient may also disclose Confidential Information to the extent required by law, by any court of competent jurisdiction or by any regulatory authority, provided that (where lawful) it gives the Disclosing Party prompt written notice.</w:t>
      </w:r>
    </w:p>
    <w:p>
      <w:pPr>
        <w:pStyle w:val="ListParagraph"/>
        <w:numPr>
          <w:ilvl w:val="0"/>
          <w:numId w:val="2"/>
        </w:numPr>
        <w:spacing w:after="100"/>
      </w:pPr>
      <w:r>
        <w:rPr>
          <w:b/>
          <w:bCs/>
        </w:rPr>
        <w:t xml:space="preserve">Return or destruction. </w:t>
      </w:r>
      <w:r>
        <w:t xml:space="preserve">On the written request of the Disclosing Party, the Recipient shall (and shall procure that its Representatives shall) promptly return or destroy all documents and materials containing Confidential Information, save that the Recipient may retain one copy to the extent required by law or its internal compliance procedures.</w:t>
      </w:r>
    </w:p>
    <w:p>
      <w:pPr>
        <w:pStyle w:val="ListParagraph"/>
        <w:numPr>
          <w:ilvl w:val="0"/>
          <w:numId w:val="2"/>
        </w:numPr>
        <w:spacing w:after="100"/>
      </w:pPr>
      <w:r>
        <w:rPr>
          <w:b/>
          <w:bCs/>
        </w:rPr>
        <w:t xml:space="preserve">No representation. </w:t>
      </w:r>
      <w:r>
        <w:t xml:space="preserve">Neither the Disclosing Party nor any of its Representatives makes any representation or warranty as to the accuracy or completeness of the Confidential Information. No contractual relationship beyond this Agreement is created.</w:t>
      </w:r>
    </w:p>
    <w:p>
      <w:pPr>
        <w:pStyle w:val="ListParagraph"/>
        <w:numPr>
          <w:ilvl w:val="0"/>
          <w:numId w:val="2"/>
        </w:numPr>
        <w:spacing w:after="100"/>
      </w:pPr>
      <w:r>
        <w:rPr>
          <w:b/>
          <w:bCs/>
        </w:rPr>
        <w:t xml:space="preserve">Non-solicitation. </w:t>
      </w:r>
      <w:r>
        <w:t xml:space="preserve">For 12 months from the date of this Agreement the Recipient shall not solicit for employment any senior employee of the Disclosing Party with whom it has had contact in connection with the Proposed Transaction, save that this shall not prevent the Recipient from employing any person who responds to a bona fide public recruitment advertisement.</w:t>
      </w:r>
    </w:p>
    <w:p>
      <w:pPr>
        <w:pStyle w:val="ListParagraph"/>
        <w:numPr>
          <w:ilvl w:val="0"/>
          <w:numId w:val="2"/>
        </w:numPr>
        <w:spacing w:after="100"/>
      </w:pPr>
      <w:r>
        <w:rPr>
          <w:b/>
          <w:bCs/>
        </w:rPr>
        <w:t xml:space="preserve">Term. </w:t>
      </w:r>
      <w:r>
        <w:t xml:space="preserve">The obligations in this Agreement shall continue for a period of two years from the date of this Agreement, notwithstanding any termination of discussions regarding the Proposed Transaction.</w:t>
      </w:r>
    </w:p>
    <w:p>
      <w:pPr>
        <w:pStyle w:val="ListParagraph"/>
        <w:numPr>
          <w:ilvl w:val="0"/>
          <w:numId w:val="2"/>
        </w:numPr>
        <w:spacing w:after="100"/>
      </w:pPr>
      <w:r>
        <w:rPr>
          <w:b/>
          <w:bCs/>
        </w:rPr>
        <w:t xml:space="preserve">Remedies. </w:t>
      </w:r>
      <w:r>
        <w:t xml:space="preserve">The Recipient acknowledges that damages alone may not be an adequate remedy for breach and that the Disclosing Party shall be entitled to seek the remedies of injunction, specific performance and other equitable relief.</w:t>
      </w:r>
    </w:p>
    <w:p>
      <w:pPr>
        <w:pStyle w:val="ListParagraph"/>
        <w:numPr>
          <w:ilvl w:val="0"/>
          <w:numId w:val="2"/>
        </w:numPr>
        <w:spacing w:after="100"/>
      </w:pPr>
      <w:r>
        <w:rPr>
          <w:b/>
          <w:bCs/>
        </w:rPr>
        <w:t xml:space="preserve">Governing law and jurisdiction. </w:t>
      </w:r>
      <w:r>
        <w:t xml:space="preserve">This Agreement and any dispute arising out of or in connection with it shall be governed by the law of England and Wales, and the parties submit to the exclusive jurisdiction of the courts of England and Wales.</w:t>
      </w:r>
    </w:p>
    <w:p>
      <w:pPr>
        <w:spacing w:after="120"/>
      </w:pPr>
      <w:r>
        <w:t xml:space="preserve"/>
      </w:r>
    </w:p>
    <w:p>
      <w:pPr>
        <w:spacing w:after="120"/>
      </w:pPr>
      <w:r>
        <w:t xml:space="preserve">This Agreement has been entered into on the date stated at the beginning of it.</w:t>
      </w:r>
    </w:p>
    <w:p>
      <w:pPr>
        <w:spacing w:after="120"/>
      </w:pPr>
      <w:r>
        <w:t xml:space="preserve"/>
      </w:r>
    </w:p>
    <w:p>
      <w:pPr>
        <w:spacing w:after="120"/>
      </w:pPr>
      <w:r>
        <w:t xml:space="preserve">SIGNED for and on behalf of CRESTVIEW CAPITAL</w:t>
      </w:r>
    </w:p>
    <w:p>
      <w:pPr>
        <w:spacing w:after="120"/>
      </w:pPr>
      <w:r>
        <w:t xml:space="preserve">Name: Daniel Reeve    Title: Investment Director</w:t>
      </w:r>
    </w:p>
    <w:p>
      <w:pPr>
        <w:spacing w:after="120"/>
      </w:pPr>
      <w:r>
        <w:t xml:space="preserve"/>
      </w:r>
    </w:p>
    <w:p>
      <w:pPr>
        <w:spacing w:after="120"/>
      </w:pPr>
      <w:r>
        <w:t xml:space="preserve">SIGNED for and on behalf of HARROWGATE PRECISION CASTINGS LIMITED</w:t>
      </w:r>
    </w:p>
    <w:p>
      <w:pPr>
        <w:spacing w:after="120"/>
      </w:pPr>
      <w:r>
        <w:t xml:space="preserve">Name: Geoffrey Harrowgate    Title: Managing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026"/>
      </w:tabs>
      <w:spacing w:after="0" w:before="80"/>
    </w:pPr>
    <w:r>
      <w:rPr>
        <w:color w:val="808080"/>
        <w:sz w:val="14"/>
        <w:szCs w:val="14"/>
      </w:rPr>
      <w:t xml:space="preserve">Project Cedar – NDA</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p>
    <w:pPr>
      <w:spacing w:after="0"/>
    </w:pPr>
    <w:r>
      <w:rPr>
        <w:i/>
        <w:iCs/>
        <w:color w:val="808080"/>
        <w:sz w:val="13"/>
        <w:szCs w:val="13"/>
      </w:rPr>
      <w:t xml:space="preserve">Whitfield Carter LLP is a limited liability partnership registered in England and Wales (OC417362). Authorised and regulated by the Solicitors Regulation Authority. Confidential and may be legally privileged.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67" w:hanging="567"/>
      </w:pPr>
    </w:lvl>
    <w:lvl w:ilvl="1" w15:tentative="1">
      <w:start w:val="1"/>
      <w:numFmt w:val="decimal"/>
      <w:lvlText w:val="%1.%2"/>
      <w:lvlJc w:val="left"/>
      <w:pPr>
        <w:ind w:left="1134" w:hanging="567"/>
      </w:pPr>
    </w:lvl>
    <w:lvl w:ilvl="2" w15:tentative="1">
      <w:start w:val="1"/>
      <w:numFmt w:val="lowerLetter"/>
      <w:lvlText w:val="(%3)"/>
      <w:lvlJc w:val="left"/>
      <w:pPr>
        <w:ind w:left="1701" w:hanging="567"/>
      </w:pPr>
    </w:lvl>
    <w:lvl w:ilvl="3" w15:tentative="1">
      <w:start w:val="1"/>
      <w:numFmt w:val="lowerRoman"/>
      <w:lvlText w:val="(%4)"/>
      <w:lvlJc w:val="left"/>
      <w:pPr>
        <w:ind w:left="2268" w:hanging="567"/>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 w:type="paragraph" w:styleId="Title">
    <w:name w:val="Title"/>
    <w:basedOn w:val="Normal"/>
    <w:next w:val="Normal"/>
    <w:pPr>
      <w:spacing w:after="240" w:before="0"/>
      <w:jc w:val="center"/>
    </w:pPr>
    <w:rPr>
      <w:rFonts w:ascii="Calibri" w:cs="Calibri" w:eastAsia="Calibri" w:hAnsi="Calibri"/>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2026-06-28T00:15:40.010Z</dcterms:created>
  <dcterms:modified xsi:type="dcterms:W3CDTF">2026-06-28T00:15:40.011Z</dcterms:modified>
</cp:coreProperties>
</file>

<file path=docProps/custom.xml><?xml version="1.0" encoding="utf-8"?>
<Properties xmlns="http://schemas.openxmlformats.org/officeDocument/2006/custom-properties" xmlns:vt="http://schemas.openxmlformats.org/officeDocument/2006/docPropsVTypes"/>
</file>