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Whitfield Carter LLP</w:t>
      </w:r>
    </w:p>
    <w:p>
      <w:r>
        <w:rPr>
          <w:color w:val="555555"/>
          <w:sz w:val="18"/>
        </w:rPr>
        <w:t>22 Bishopsgate, London EC2N 4BQ</w:t>
        <w:br/>
        <w:t>T +44 (0)20 7946 0011   |   www.whitfieldcarter.com</w:t>
      </w:r>
    </w:p>
    <w:p>
      <w:pPr>
        <w:pBdr>
          <w:bottom w:val="single" w:sz="6" w:space="1" w:color="1F3864"/>
        </w:pBdr>
      </w:pPr>
    </w:p>
    <w:p>
      <w:pPr>
        <w:jc w:val="center"/>
      </w:pPr>
      <w:r>
        <w:rPr>
          <w:b/>
          <w:sz w:val="30"/>
        </w:rPr>
        <w:t>COMPLETION CHECKLIST</w:t>
      </w:r>
    </w:p>
    <w:p>
      <w:pPr>
        <w:spacing w:after="40"/>
        <w:jc w:val="center"/>
      </w:pPr>
      <w:r>
        <w:rPr>
          <w:b/>
          <w:i w:val="0"/>
          <w:sz w:val="22"/>
        </w:rPr>
        <w:t>Project Harbor — Acquisition of Tindale Precision Coatings Limited</w:t>
      </w:r>
    </w:p>
    <w:p>
      <w:pPr>
        <w:spacing w:after="160"/>
        <w:jc w:val="center"/>
      </w:pPr>
      <w:r>
        <w:rPr>
          <w:b w:val="0"/>
          <w:i/>
          <w:sz w:val="18"/>
        </w:rPr>
        <w:t>Completion: 4 December 2025  |  Prepared by Whitfield Carter LLP</w:t>
      </w:r>
    </w:p>
    <w:p>
      <w:pPr>
        <w:spacing w:after="120"/>
      </w:pPr>
      <w:r>
        <w:rPr>
          <w:b w:val="0"/>
          <w:i/>
          <w:sz w:val="18"/>
        </w:rPr>
        <w:t>Key: ✓ = received / completed; D = held in escrow pending dating; — = not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20"/>
              </w:rPr>
              <w:t>Document / Step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Share Purchase Agreement (execution version) — executed by all parties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 / 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Disclosure Letter and Disclosure Bundle — delivered by Sellers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Stock transfer forms for 1,000,000 ordinary shares — executed by Sellers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Share certificates / indemnities for lost certificates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Statutory registers, minute books and certificate of incorporation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Board resolutions of the Company (transfers, resignations, appointments)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Resignations under seal of resigning directors (M. Tindale; D. Okeke retained)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Service agreement of Geoffrey Tindale — executed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Releases of debentures / charges (Companies House MR04 to follow)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Board resolution of Marwood Bidco Limited authorising the acquisition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Funds flow statement — agreed and circulated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Payment of Initial Consideration (£34,110,000) to Sellers' Solicitors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Buyer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Payment of Retention Amount (£3,790,000) into Retention Account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Buyer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Escrow / Retention Account joint mandate — executed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 / C&amp;V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Acquisition facility drawdown notice and CP satisfaction (Clydesford Bank)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Companies House filings: TM01/AP01/SH... post-completion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Press / no announcement — confidentiality maintained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</w:tr>
    </w:tbl>
    <w:p>
      <w:r>
        <w:rPr>
          <w:i/>
          <w:color w:val="777777"/>
          <w:sz w:val="16"/>
        </w:rPr>
        <w:t>Whitfield Carter LLP is a limited liability partnership registered in England and Wales. This communication is confidential and may be legally privileged.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