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8"/>
        </w:rPr>
        <w:t>Castle &amp; Vane LLP</w:t>
      </w:r>
    </w:p>
    <w:p>
      <w:pPr>
        <w:spacing w:after="160"/>
      </w:pPr>
      <w:r>
        <w:rPr>
          <w:b w:val="0"/>
          <w:i w:val="0"/>
          <w:sz w:val="18"/>
        </w:rPr>
        <w:t>9 Cornhill, London EC3V 3ND</w:t>
      </w:r>
    </w:p>
    <w:p>
      <w:pPr>
        <w:spacing w:after="160"/>
      </w:pPr>
      <w:r>
        <w:rPr>
          <w:b w:val="0"/>
          <w:i w:val="0"/>
          <w:sz w:val="22"/>
        </w:rPr>
        <w:t>To: Marwood Bidco Limited</w:t>
        <w:br/>
        <w:t>18 St James's Square, London SW1Y 4JU</w:t>
      </w:r>
    </w:p>
    <w:p>
      <w:pPr>
        <w:spacing w:after="160"/>
      </w:pPr>
      <w:r>
        <w:rPr>
          <w:b w:val="0"/>
          <w:i w:val="0"/>
          <w:sz w:val="22"/>
        </w:rPr>
        <w:t>Copy: Whitfield Carter LLP</w:t>
      </w:r>
    </w:p>
    <w:p>
      <w:pPr>
        <w:spacing w:after="160"/>
      </w:pPr>
      <w:r>
        <w:rPr>
          <w:b w:val="0"/>
          <w:i w:val="0"/>
          <w:sz w:val="22"/>
        </w:rPr>
        <w:t>4 December 2025</w:t>
      </w:r>
    </w:p>
    <w:p>
      <w:pPr>
        <w:spacing w:after="120"/>
      </w:pPr>
      <w:r>
        <w:rPr>
          <w:b w:val="0"/>
          <w:i w:val="0"/>
          <w:sz w:val="22"/>
        </w:rPr>
        <w:t>Dear Sirs</w:t>
      </w:r>
    </w:p>
    <w:p>
      <w:pPr>
        <w:spacing w:after="120"/>
      </w:pPr>
      <w:r>
        <w:rPr>
          <w:b/>
          <w:i w:val="0"/>
          <w:sz w:val="22"/>
        </w:rPr>
        <w:t>DISCLOSURE LETTER — Project Harbor</w:t>
      </w:r>
    </w:p>
    <w:p>
      <w:pPr>
        <w:spacing w:after="120"/>
      </w:pPr>
      <w:r>
        <w:rPr>
          <w:b w:val="0"/>
          <w:i w:val="0"/>
          <w:sz w:val="22"/>
        </w:rPr>
        <w:t>This is the Disclosure Letter referred to in the share purchase agreement of today's date (the "Agreement") relating to the sale and purchase of the entire issued share capital of Tindale Precision Coatings Limited (the "Company"). Words and expressions defined in the Agreement have the same meaning in this letter.</w:t>
      </w:r>
    </w:p>
    <w:p>
      <w:pPr>
        <w:spacing w:before="200" w:after="120"/>
      </w:pPr>
      <w:r>
        <w:rPr>
          <w:b/>
          <w:sz w:val="28"/>
        </w:rPr>
        <w:t>1.  Basis of disclosure</w:t>
      </w:r>
    </w:p>
    <w:p>
      <w:pPr>
        <w:spacing w:after="120"/>
      </w:pPr>
      <w:r>
        <w:rPr>
          <w:b w:val="0"/>
          <w:i w:val="0"/>
          <w:sz w:val="22"/>
        </w:rPr>
        <w:t>The Warranties are given subject to the matters disclosed in this letter and in the documents listed in the Disclosure Bundle, all of which are disclosed to the Buyer. Matters are disclosed against the Warranties generally and not only against any particular Warranty. The Buyer shall not be entitled to claim that any matter fairly disclosed constitutes a breach of any Warranty.</w:t>
      </w:r>
    </w:p>
    <w:p>
      <w:pPr>
        <w:spacing w:before="200" w:after="120"/>
      </w:pPr>
      <w:r>
        <w:rPr>
          <w:b/>
          <w:sz w:val="28"/>
        </w:rPr>
        <w:t>2.  General disclosures</w:t>
      </w:r>
    </w:p>
    <w:p>
      <w:pPr>
        <w:spacing w:after="120"/>
      </w:pPr>
      <w:r>
        <w:rPr>
          <w:b w:val="0"/>
          <w:i w:val="0"/>
          <w:sz w:val="22"/>
        </w:rPr>
        <w:t>The following matters are disclosed generally: (a) all matters apparent from the searches at Companies House and the Land Registry undertaken on or before 28 November 2025; (b) the contents of the Company's audited accounts for the year ended 31 March 2025 and the Management Accounts; (c) all matters provided for or noted in the Completion Accounts; and (d) the contents of the data room hosted on the Sellers' virtual data room platform as at 1 December 2025, an index of which is annexed.</w:t>
      </w:r>
    </w:p>
    <w:p>
      <w:pPr>
        <w:spacing w:before="200" w:after="120"/>
      </w:pPr>
      <w:r>
        <w:rPr>
          <w:b/>
          <w:sz w:val="28"/>
        </w:rPr>
        <w:t>3.  Specific disclosures</w:t>
      </w:r>
    </w:p>
    <w:p>
      <w:pPr>
        <w:spacing w:after="120"/>
      </w:pPr>
      <w:r>
        <w:rPr>
          <w:b w:val="0"/>
          <w:i w:val="0"/>
          <w:sz w:val="22"/>
        </w:rPr>
        <w:t>Against the Warranties identified, the following specific matters are disclosed:</w:t>
      </w:r>
    </w:p>
    <w:p>
      <w:pPr>
        <w:spacing w:after="40"/>
      </w:pPr>
      <w:r>
        <w:rPr>
          <w:b/>
          <w:i w:val="0"/>
          <w:sz w:val="22"/>
        </w:rPr>
        <w:t>Warranty 3.7 (Contracts)</w:t>
      </w:r>
    </w:p>
    <w:p>
      <w:pPr>
        <w:spacing w:after="120"/>
      </w:pPr>
      <w:r>
        <w:rPr>
          <w:b w:val="0"/>
          <w:i w:val="0"/>
          <w:sz w:val="22"/>
        </w:rPr>
        <w:t>The Company's largest customer contract, the master coating services agreement with Caldera Mobility Systems plc (approximately 18% of FY2025 turnover), contains a change-of-control provision entitling the customer to terminate on 60 days' notice following a change of control of the Company. The Sellers have requested, but not yet obtained, a written waiver; the customer has indicated informally that it does not intend to exercise the right.</w:t>
      </w:r>
    </w:p>
    <w:p>
      <w:pPr>
        <w:spacing w:after="40"/>
      </w:pPr>
      <w:r>
        <w:rPr>
          <w:b/>
          <w:i w:val="0"/>
          <w:sz w:val="22"/>
        </w:rPr>
        <w:t>Warranty 3.8 (Customers and suppliers)</w:t>
      </w:r>
    </w:p>
    <w:p>
      <w:pPr>
        <w:spacing w:after="120"/>
      </w:pPr>
      <w:r>
        <w:rPr>
          <w:b w:val="0"/>
          <w:i w:val="0"/>
          <w:sz w:val="22"/>
        </w:rPr>
        <w:t>The supply of a specialist tungsten-carbide feedstock is currently sourced from a single supplier, Reyland Fine Chemicals Limited. No alternative supplier is presently qualified, although qualification of a second source is in progress.</w:t>
      </w:r>
    </w:p>
    <w:p>
      <w:pPr>
        <w:spacing w:after="40"/>
      </w:pPr>
      <w:r>
        <w:rPr>
          <w:b/>
          <w:i w:val="0"/>
          <w:sz w:val="22"/>
        </w:rPr>
        <w:t>Warranty 3.9 (IP and IT)</w:t>
      </w:r>
    </w:p>
    <w:p>
      <w:pPr>
        <w:spacing w:after="120"/>
      </w:pPr>
      <w:r>
        <w:rPr>
          <w:b w:val="0"/>
          <w:i w:val="0"/>
          <w:sz w:val="22"/>
        </w:rPr>
        <w:t>The Company's proprietary coating-process know-how is held as confidential know-how and is not the subject of any registered patent. Two UK trade marks ("TINDALE" and "PRECISIONCOAT") are registered in the name of the Company.</w:t>
      </w:r>
    </w:p>
    <w:p>
      <w:pPr>
        <w:spacing w:after="40"/>
      </w:pPr>
      <w:r>
        <w:rPr>
          <w:b/>
          <w:i w:val="0"/>
          <w:sz w:val="22"/>
        </w:rPr>
        <w:t>Warranty 3.11 (Litigation)</w:t>
      </w:r>
    </w:p>
    <w:p>
      <w:pPr>
        <w:spacing w:after="120"/>
      </w:pPr>
      <w:r>
        <w:rPr>
          <w:b w:val="0"/>
          <w:i w:val="0"/>
          <w:sz w:val="22"/>
        </w:rPr>
        <w:t>A former employee, Mr K. Brewer, has intimated (but not issued) a claim for unfair dismissal. The Company considers the claim to be without merit. No provision has been made in the accounts.</w:t>
      </w:r>
    </w:p>
    <w:p>
      <w:pPr>
        <w:spacing w:after="40"/>
      </w:pPr>
      <w:r>
        <w:rPr>
          <w:b/>
          <w:i w:val="0"/>
          <w:sz w:val="22"/>
        </w:rPr>
        <w:t>Warranty 3.12-3.13 (Compliance / Environment)</w:t>
      </w:r>
    </w:p>
    <w:p>
      <w:pPr>
        <w:spacing w:after="120"/>
      </w:pPr>
      <w:r>
        <w:rPr>
          <w:b w:val="0"/>
          <w:i w:val="0"/>
          <w:sz w:val="22"/>
        </w:rPr>
        <w:t>The Company holds an environmental permit for its thermal-spray operations issued by the local authority. A routine inspection in March 2025 identified a minor non-conformity relating to dust-extraction record-keeping, which has since been remedied; the correspondence is in the data room.</w:t>
      </w:r>
    </w:p>
    <w:p>
      <w:pPr>
        <w:spacing w:after="40"/>
      </w:pPr>
      <w:r>
        <w:rPr>
          <w:b/>
          <w:i w:val="0"/>
          <w:sz w:val="22"/>
        </w:rPr>
        <w:t>Warranty 3.14 (Tax)</w:t>
      </w:r>
    </w:p>
    <w:p>
      <w:pPr>
        <w:spacing w:after="120"/>
      </w:pPr>
      <w:r>
        <w:rPr>
          <w:b w:val="0"/>
          <w:i w:val="0"/>
          <w:sz w:val="22"/>
        </w:rPr>
        <w:t>The Company has claimed research and development tax relief in respect of its coating-process development work for the years ended 31 March 2023, 2024 and 2025. The claims have not been the subject of any enquiry by HMRC.</w:t>
      </w:r>
    </w:p>
    <w:p>
      <w:pPr>
        <w:spacing w:after="200"/>
      </w:pPr>
      <w:r>
        <w:rPr>
          <w:b w:val="0"/>
          <w:i w:val="0"/>
          <w:sz w:val="22"/>
        </w:rPr>
        <w:t>Yours faithfully</w:t>
      </w:r>
    </w:p>
    <w:p>
      <w:pPr>
        <w:spacing w:after="40"/>
      </w:pPr>
      <w:r>
        <w:rPr>
          <w:b w:val="0"/>
          <w:i w:val="0"/>
          <w:sz w:val="22"/>
        </w:rPr>
        <w:t>For and on behalf of the Sellers</w:t>
      </w:r>
    </w:p>
    <w:p>
      <w:pPr>
        <w:spacing w:after="120"/>
      </w:pPr>
      <w:r>
        <w:rPr>
          <w:b w:val="0"/>
          <w:i w:val="0"/>
          <w:sz w:val="22"/>
        </w:rPr>
        <w:t>Castle &amp; Vane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