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Whitfield Carter LLP</w:t>
      </w:r>
    </w:p>
    <w:p>
      <w:r>
        <w:rPr>
          <w:color w:val="555555"/>
          <w:sz w:val="18"/>
        </w:rPr>
        <w:t>22 Bishopsgate, London EC2N 4BQ</w:t>
        <w:br/>
        <w:t>T +44 (0)20 7946 0011   |   www.whitfieldcarter.com</w:t>
      </w:r>
    </w:p>
    <w:p>
      <w:pPr>
        <w:pBdr>
          <w:bottom w:val="single" w:sz="6" w:space="1" w:color="1F3864"/>
        </w:pBdr>
      </w:pPr>
    </w:p>
    <w:p>
      <w:pPr>
        <w:spacing w:after="200"/>
      </w:pPr>
      <w:r>
        <w:rPr>
          <w:b/>
          <w:i w:val="0"/>
          <w:sz w:val="22"/>
        </w:rPr>
        <w:t>STRICTLY PRIVATE AND CONFIDENTIAL</w:t>
      </w:r>
    </w:p>
    <w:p>
      <w:pPr>
        <w:spacing w:after="200"/>
      </w:pPr>
      <w:r>
        <w:rPr>
          <w:b w:val="0"/>
          <w:i w:val="0"/>
          <w:sz w:val="22"/>
        </w:rPr>
        <w:t>Mr Daniel Reeve</w:t>
        <w:br/>
        <w:t>Investment Director</w:t>
        <w:br/>
        <w:t>Crestview Capital LLP</w:t>
        <w:br/>
        <w:t>18 St James's Square</w:t>
        <w:br/>
        <w:t>London SW1Y 4JU</w:t>
      </w:r>
    </w:p>
    <w:p>
      <w:pPr>
        <w:spacing w:after="200"/>
      </w:pPr>
      <w:r>
        <w:rPr>
          <w:b w:val="0"/>
          <w:i w:val="0"/>
          <w:sz w:val="22"/>
        </w:rPr>
        <w:t>12 September 2025</w:t>
      </w:r>
    </w:p>
    <w:p>
      <w:pPr>
        <w:spacing w:after="160"/>
      </w:pPr>
      <w:r>
        <w:rPr>
          <w:b w:val="0"/>
          <w:i w:val="0"/>
          <w:sz w:val="22"/>
        </w:rPr>
        <w:t>Dear Daniel</w:t>
      </w:r>
    </w:p>
    <w:p>
      <w:pPr>
        <w:spacing w:after="160"/>
      </w:pPr>
      <w:r>
        <w:rPr>
          <w:b/>
          <w:i w:val="0"/>
          <w:sz w:val="22"/>
        </w:rPr>
        <w:t>Project Harbor — proposed acquisition of Tindale Precision Coatings Limited</w:t>
      </w:r>
    </w:p>
    <w:p>
      <w:pPr>
        <w:spacing w:after="120"/>
      </w:pPr>
      <w:r>
        <w:rPr>
          <w:b w:val="0"/>
          <w:i w:val="0"/>
          <w:sz w:val="22"/>
        </w:rPr>
        <w:t>Thank you for instructing Whitfield Carter LLP in connection with the proposed acquisition by Crestview Capital LLP (or a newly-incorporated acquisition vehicle within your group) of the entire issued share capital of Tindale Precision Coatings Limited (the "Target"). This letter, together with our enclosed standard terms of business, sets out the basis on which we will act.</w:t>
      </w:r>
    </w:p>
    <w:p>
      <w:pPr>
        <w:spacing w:before="200" w:after="120"/>
      </w:pPr>
      <w:r>
        <w:rPr>
          <w:b/>
          <w:sz w:val="28"/>
        </w:rPr>
        <w:t>1.  Scope of our engagement</w:t>
      </w:r>
    </w:p>
    <w:p>
      <w:pPr>
        <w:spacing w:after="120"/>
      </w:pPr>
      <w:r>
        <w:rPr>
          <w:b w:val="0"/>
          <w:i w:val="0"/>
          <w:sz w:val="22"/>
        </w:rPr>
        <w:t>We will advise on and document the proposed acquisition, including: legal due diligence and the preparation of a due diligence report; the negotiation and drafting of the share purchase agreement, disclosure letter and ancillary completion documents; advice on transaction structure and the establishment of an English acquisition vehicle; review of key contracts and property matters; and management of signing and completion. Specialist tax structuring will be provided in conjunction with your tax advisers, and competition clearance is not anticipated to be required on the basis of the parties' respective turnovers and shares of supply.</w:t>
      </w:r>
    </w:p>
    <w:p>
      <w:pPr>
        <w:spacing w:before="200" w:after="120"/>
      </w:pPr>
      <w:r>
        <w:rPr>
          <w:b/>
          <w:sz w:val="28"/>
        </w:rPr>
        <w:t>2.  The team</w:t>
      </w:r>
    </w:p>
    <w:p>
      <w:pPr>
        <w:spacing w:after="120"/>
      </w:pPr>
      <w:r>
        <w:rPr>
          <w:b w:val="0"/>
          <w:i w:val="0"/>
          <w:sz w:val="22"/>
        </w:rPr>
        <w:t>Sarah Whitfield (Partner) will have overall responsibility for the matter and will be your principal point of contact. She will be supported by James Osei (Senior Associate), who will handle day-to-day conduct, and Elena Marchetti (Associate). You may also deal directly with members of the wider team.</w:t>
      </w:r>
    </w:p>
    <w:p>
      <w:pPr>
        <w:spacing w:before="200" w:after="120"/>
      </w:pPr>
      <w:r>
        <w:rPr>
          <w:b/>
          <w:sz w:val="28"/>
        </w:rPr>
        <w:t>3.  Fees</w:t>
      </w:r>
    </w:p>
    <w:p>
      <w:pPr>
        <w:spacing w:after="120"/>
      </w:pPr>
      <w:r>
        <w:rPr>
          <w:b w:val="0"/>
          <w:i w:val="0"/>
          <w:sz w:val="22"/>
        </w:rPr>
        <w:t>Our fees are charged by reference to time spent at the following hourly rates (exclusive of VAT): Partner £695; Senior Associate £475; Associate £350; Trainee/Paralegal £195. On the basis of the anticipated scope, we estimate our fees for the transaction in the range of £160,000 to £195,000 plus VAT and disbursements. This is an estimate and not a fixed fee or a cap; we will notify you promptly if it appears the estimate will be materially exceeded, for example if the negotiation becomes protracted or the scope of due diligence expands.</w:t>
      </w:r>
    </w:p>
    <w:p>
      <w:pPr>
        <w:spacing w:before="200" w:after="120"/>
      </w:pPr>
      <w:r>
        <w:rPr>
          <w:b/>
          <w:sz w:val="28"/>
        </w:rPr>
        <w:t>4.  Billing</w:t>
      </w:r>
    </w:p>
    <w:p>
      <w:pPr>
        <w:spacing w:after="120"/>
      </w:pPr>
      <w:r>
        <w:rPr>
          <w:b w:val="0"/>
          <w:i w:val="0"/>
          <w:sz w:val="22"/>
        </w:rPr>
        <w:t>We will render invoices monthly in arrears. Invoices are payable within 21 days. We may require a payment on account of fees and disbursements, which we propose to set at £25,000.</w:t>
      </w:r>
    </w:p>
    <w:p>
      <w:pPr>
        <w:spacing w:before="200" w:after="120"/>
      </w:pPr>
      <w:r>
        <w:rPr>
          <w:b/>
          <w:sz w:val="28"/>
        </w:rPr>
        <w:t>5.  Confidentiality and conflicts</w:t>
      </w:r>
    </w:p>
    <w:p>
      <w:pPr>
        <w:spacing w:after="120"/>
      </w:pPr>
      <w:r>
        <w:rPr>
          <w:b w:val="0"/>
          <w:i w:val="0"/>
          <w:sz w:val="22"/>
        </w:rPr>
        <w:t>We have carried out a conflict check and are not aware of any conflict that would prevent us from acting. We will treat all information relating to the matter as confidential in accordance with our professional obligations. The codename for this matter is "Project Harbor".</w:t>
      </w:r>
    </w:p>
    <w:p>
      <w:pPr>
        <w:spacing w:before="200" w:after="120"/>
      </w:pPr>
      <w:r>
        <w:rPr>
          <w:b/>
          <w:sz w:val="28"/>
        </w:rPr>
        <w:t>6.  Regulatory</w:t>
      </w:r>
    </w:p>
    <w:p>
      <w:pPr>
        <w:spacing w:after="120"/>
      </w:pPr>
      <w:r>
        <w:rPr>
          <w:b w:val="0"/>
          <w:i w:val="0"/>
          <w:sz w:val="22"/>
        </w:rPr>
        <w:t>Whitfield Carter LLP is authorised and regulated by the Solicitors Regulation Authority. Our complaints procedure and information about the Legal Ombudsman are set out in our terms of business.</w:t>
      </w:r>
    </w:p>
    <w:p>
      <w:pPr>
        <w:spacing w:after="120"/>
      </w:pPr>
      <w:r>
        <w:rPr>
          <w:b w:val="0"/>
          <w:i w:val="0"/>
          <w:sz w:val="22"/>
        </w:rPr>
        <w:t>Please confirm your acceptance of these terms by countersigning and returning the enclosed copy of this letter. We are delighted to be acting for you on this transaction.</w:t>
      </w:r>
    </w:p>
    <w:p>
      <w:pPr>
        <w:spacing w:after="240"/>
      </w:pPr>
      <w:r>
        <w:rPr>
          <w:b w:val="0"/>
          <w:i w:val="0"/>
          <w:sz w:val="22"/>
        </w:rPr>
        <w:t>Yours sincerely</w:t>
      </w:r>
    </w:p>
    <w:p>
      <w:pPr>
        <w:spacing w:after="0"/>
      </w:pPr>
      <w:r>
        <w:rPr>
          <w:b/>
          <w:i w:val="0"/>
          <w:sz w:val="22"/>
        </w:rPr>
        <w:t>Sarah Whitfield</w:t>
      </w:r>
    </w:p>
    <w:p>
      <w:pPr>
        <w:spacing w:after="240"/>
      </w:pPr>
      <w:r>
        <w:rPr>
          <w:b w:val="0"/>
          <w:i w:val="0"/>
          <w:sz w:val="22"/>
        </w:rPr>
        <w:t>Partner, for and on behalf of Whitfield Carter LLP</w:t>
      </w:r>
    </w:p>
    <w:p>
      <w:pPr>
        <w:spacing w:after="160"/>
      </w:pPr>
      <w:r>
        <w:rPr>
          <w:b w:val="0"/>
          <w:i w:val="0"/>
          <w:sz w:val="22"/>
        </w:rPr>
        <w:t>Acknowledged and agreed for and on behalf of Crestview Capital LLP:</w:t>
      </w:r>
    </w:p>
    <w:p>
      <w:pPr>
        <w:spacing w:after="120"/>
      </w:pPr>
      <w:r>
        <w:rPr>
          <w:b w:val="0"/>
          <w:i w:val="0"/>
          <w:sz w:val="22"/>
        </w:rPr>
        <w:t>Signature: ...........................   Name: Daniel Reeve   Date: .................</w:t>
      </w:r>
    </w:p>
    <w:p>
      <w:r>
        <w:rPr>
          <w:i/>
          <w:color w:val="777777"/>
          <w:sz w:val="16"/>
        </w:rPr>
        <w:t>Whitfield Carter LLP is a limited liability partnership registered in England and Wales. This communication is confidential and may be legally privileged.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