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HEADS OF TERMS</w:t>
      </w:r>
    </w:p>
    <w:p>
      <w:pPr>
        <w:spacing w:after="80"/>
        <w:jc w:val="center"/>
      </w:pPr>
      <w:r>
        <w:rPr>
          <w:b/>
          <w:i w:val="0"/>
          <w:sz w:val="22"/>
        </w:rPr>
        <w:t>Project Harbor — Proposed Acquisition of Tindale Precision Coatings Limited</w:t>
      </w:r>
    </w:p>
    <w:p>
      <w:pPr>
        <w:spacing w:after="200"/>
        <w:jc w:val="center"/>
      </w:pPr>
      <w:r>
        <w:rPr>
          <w:b w:val="0"/>
          <w:i/>
          <w:sz w:val="22"/>
        </w:rPr>
        <w:t>Subject to Contract and Without Prejudice — Not legally binding (save as stated in paragraph 9)</w:t>
      </w:r>
    </w:p>
    <w:p>
      <w:pPr>
        <w:spacing w:after="200"/>
        <w:jc w:val="center"/>
      </w:pPr>
      <w:r>
        <w:rPr>
          <w:b w:val="0"/>
          <w:i w:val="0"/>
          <w:sz w:val="22"/>
        </w:rPr>
        <w:t>Dated 30 September 2025</w:t>
      </w:r>
    </w:p>
    <w:p>
      <w:pPr>
        <w:spacing w:after="120"/>
      </w:pPr>
      <w:r>
        <w:rPr>
          <w:b w:val="0"/>
          <w:i w:val="0"/>
          <w:sz w:val="22"/>
        </w:rPr>
        <w:t>These heads of terms record the principal terms on which Crestview Capital LLP ("Crestview" or the "Buyer"), acting through a newly-incorporated acquisition vehicle ("Bidco"), proposes to acquire the entire issued share capital of Tindale Precision Coatings Limited (the "Target" or the "Company") from its shareholders (the "Sellers").</w:t>
      </w:r>
    </w:p>
    <w:tbl>
      <w:tblPr>
        <w:tblStyle w:val="TableGrid"/>
        <w:tblW w:type="auto" w:w="0"/>
        <w:jc w:val="center"/>
        <w:tblLook w:firstColumn="1" w:firstRow="1" w:lastColumn="0" w:lastRow="0" w:noHBand="0" w:noVBand="1" w:val="04A0"/>
      </w:tblPr>
      <w:tblGrid>
        <w:gridCol w:w="4680"/>
        <w:gridCol w:w="4680"/>
      </w:tblGrid>
      <w:tr>
        <w:tc>
          <w:tcPr>
            <w:tcW w:type="dxa" w:w="2304"/>
          </w:tcPr>
          <w:p>
            <w:r/>
            <w:r>
              <w:rPr>
                <w:b/>
                <w:sz w:val="20"/>
              </w:rPr>
              <w:t>Item</w:t>
            </w:r>
          </w:p>
        </w:tc>
        <w:tc>
          <w:tcPr>
            <w:tcW w:type="dxa" w:w="7200"/>
          </w:tcPr>
          <w:p>
            <w:r/>
            <w:r>
              <w:rPr>
                <w:b/>
                <w:sz w:val="20"/>
              </w:rPr>
              <w:t>Summary of proposed terms</w:t>
            </w:r>
          </w:p>
        </w:tc>
      </w:tr>
      <w:tr>
        <w:tc>
          <w:tcPr>
            <w:tcW w:type="dxa" w:w="2304"/>
          </w:tcPr>
          <w:p>
            <w:r/>
            <w:r>
              <w:rPr>
                <w:sz w:val="20"/>
              </w:rPr>
              <w:t>Buyer</w:t>
            </w:r>
          </w:p>
        </w:tc>
        <w:tc>
          <w:tcPr>
            <w:tcW w:type="dxa" w:w="7200"/>
          </w:tcPr>
          <w:p>
            <w:r/>
            <w:r>
              <w:rPr>
                <w:sz w:val="20"/>
              </w:rPr>
              <w:t>Crestview Capital LLP, through Marwood Bidco Limited, a newly-incorporated English acquisition vehicle.</w:t>
            </w:r>
          </w:p>
        </w:tc>
      </w:tr>
      <w:tr>
        <w:tc>
          <w:tcPr>
            <w:tcW w:type="dxa" w:w="2304"/>
          </w:tcPr>
          <w:p>
            <w:r/>
            <w:r>
              <w:rPr>
                <w:sz w:val="20"/>
              </w:rPr>
              <w:t>Sellers</w:t>
            </w:r>
          </w:p>
        </w:tc>
        <w:tc>
          <w:tcPr>
            <w:tcW w:type="dxa" w:w="7200"/>
          </w:tcPr>
          <w:p>
            <w:r/>
            <w:r>
              <w:rPr>
                <w:sz w:val="20"/>
              </w:rPr>
              <w:t>Geoffrey Tindale (60%), Margaret Tindale (25%) and Aldermarsh Nominees Limited (15%) — together the holders of the entire issued share capital of the Target.</w:t>
            </w:r>
          </w:p>
        </w:tc>
      </w:tr>
      <w:tr>
        <w:tc>
          <w:tcPr>
            <w:tcW w:type="dxa" w:w="2304"/>
          </w:tcPr>
          <w:p>
            <w:r/>
            <w:r>
              <w:rPr>
                <w:sz w:val="20"/>
              </w:rPr>
              <w:t>Target</w:t>
            </w:r>
          </w:p>
        </w:tc>
        <w:tc>
          <w:tcPr>
            <w:tcW w:type="dxa" w:w="7200"/>
          </w:tcPr>
          <w:p>
            <w:r/>
            <w:r>
              <w:rPr>
                <w:sz w:val="20"/>
              </w:rPr>
              <w:t>Tindale Precision Coatings Limited (company no. 04188736), a manufacturer of thermal-spray and specialist surface coatings for aerospace, energy and industrial customers, based in Coventry.</w:t>
            </w:r>
          </w:p>
        </w:tc>
      </w:tr>
      <w:tr>
        <w:tc>
          <w:tcPr>
            <w:tcW w:type="dxa" w:w="2304"/>
          </w:tcPr>
          <w:p>
            <w:r/>
            <w:r>
              <w:rPr>
                <w:sz w:val="20"/>
              </w:rPr>
              <w:t>Transaction</w:t>
            </w:r>
          </w:p>
        </w:tc>
        <w:tc>
          <w:tcPr>
            <w:tcW w:type="dxa" w:w="7200"/>
          </w:tcPr>
          <w:p>
            <w:r/>
            <w:r>
              <w:rPr>
                <w:sz w:val="20"/>
              </w:rPr>
              <w:t>Acquisition of 100% of the issued share capital of the Target on a cash-free, debt-free basis with a normalised level of working capital.</w:t>
            </w:r>
          </w:p>
        </w:tc>
      </w:tr>
      <w:tr>
        <w:tc>
          <w:tcPr>
            <w:tcW w:type="dxa" w:w="2304"/>
          </w:tcPr>
          <w:p>
            <w:r/>
            <w:r>
              <w:rPr>
                <w:sz w:val="20"/>
              </w:rPr>
              <w:t>Enterprise Value</w:t>
            </w:r>
          </w:p>
        </w:tc>
        <w:tc>
          <w:tcPr>
            <w:tcW w:type="dxa" w:w="7200"/>
          </w:tcPr>
          <w:p>
            <w:r/>
            <w:r>
              <w:rPr>
                <w:sz w:val="20"/>
              </w:rPr>
              <w:t>£41,500,000 (forty-one million five hundred thousand pounds).</w:t>
            </w:r>
          </w:p>
        </w:tc>
      </w:tr>
      <w:tr>
        <w:tc>
          <w:tcPr>
            <w:tcW w:type="dxa" w:w="2304"/>
          </w:tcPr>
          <w:p>
            <w:r/>
            <w:r>
              <w:rPr>
                <w:sz w:val="20"/>
              </w:rPr>
              <w:t>Initial Consideration</w:t>
            </w:r>
          </w:p>
        </w:tc>
        <w:tc>
          <w:tcPr>
            <w:tcW w:type="dxa" w:w="7200"/>
          </w:tcPr>
          <w:p>
            <w:r/>
            <w:r>
              <w:rPr>
                <w:sz w:val="20"/>
              </w:rPr>
              <w:t>£37,900,000, being Enterprise Value less estimated net debt of £3,600,000, payable in cash on Completion, subject to completion-accounts adjustment for net debt and working capital.</w:t>
            </w:r>
          </w:p>
        </w:tc>
      </w:tr>
      <w:tr>
        <w:tc>
          <w:tcPr>
            <w:tcW w:type="dxa" w:w="2304"/>
          </w:tcPr>
          <w:p>
            <w:r/>
            <w:r>
              <w:rPr>
                <w:sz w:val="20"/>
              </w:rPr>
              <w:t>Retention</w:t>
            </w:r>
          </w:p>
        </w:tc>
        <w:tc>
          <w:tcPr>
            <w:tcW w:type="dxa" w:w="7200"/>
          </w:tcPr>
          <w:p>
            <w:r/>
            <w:r>
              <w:rPr>
                <w:sz w:val="20"/>
              </w:rPr>
              <w:t>£3,790,000 (10% of Initial Consideration) to be retained in a joint escrow account for 18 months as security for warranty and indemnity claims.</w:t>
            </w:r>
          </w:p>
        </w:tc>
      </w:tr>
      <w:tr>
        <w:tc>
          <w:tcPr>
            <w:tcW w:type="dxa" w:w="2304"/>
          </w:tcPr>
          <w:p>
            <w:r/>
            <w:r>
              <w:rPr>
                <w:sz w:val="20"/>
              </w:rPr>
              <w:t>Deferred / Earn-out</w:t>
            </w:r>
          </w:p>
        </w:tc>
        <w:tc>
          <w:tcPr>
            <w:tcW w:type="dxa" w:w="7200"/>
          </w:tcPr>
          <w:p>
            <w:r/>
            <w:r>
              <w:rPr>
                <w:sz w:val="20"/>
              </w:rPr>
              <w:t>Up to £4,000,000 of additional consideration payable by reference to the Target's audited EBITDA for the financial year ending 31 March 2027, on a sliding scale above a threshold of £5.4m EBITDA.</w:t>
            </w:r>
          </w:p>
        </w:tc>
      </w:tr>
      <w:tr>
        <w:tc>
          <w:tcPr>
            <w:tcW w:type="dxa" w:w="2304"/>
          </w:tcPr>
          <w:p>
            <w:r/>
            <w:r>
              <w:rPr>
                <w:sz w:val="20"/>
              </w:rPr>
              <w:t>Warranties</w:t>
            </w:r>
          </w:p>
        </w:tc>
        <w:tc>
          <w:tcPr>
            <w:tcW w:type="dxa" w:w="7200"/>
          </w:tcPr>
          <w:p>
            <w:r/>
            <w:r>
              <w:rPr>
                <w:sz w:val="20"/>
              </w:rPr>
              <w:t>Customary commercial, financial, operational, tax, employment, IP and environmental warranties to be given by the Sellers, subject to disclosure and agreed limitations.</w:t>
            </w:r>
          </w:p>
        </w:tc>
      </w:tr>
      <w:tr>
        <w:tc>
          <w:tcPr>
            <w:tcW w:type="dxa" w:w="2304"/>
          </w:tcPr>
          <w:p>
            <w:r/>
            <w:r>
              <w:rPr>
                <w:sz w:val="20"/>
              </w:rPr>
              <w:t>Liability cap</w:t>
            </w:r>
          </w:p>
        </w:tc>
        <w:tc>
          <w:tcPr>
            <w:tcW w:type="dxa" w:w="7200"/>
          </w:tcPr>
          <w:p>
            <w:r/>
            <w:r>
              <w:rPr>
                <w:sz w:val="20"/>
              </w:rPr>
              <w:t>Aggregate cap on business (non-tax) warranty claims to be agreed (Buyer's opening position 100% of consideration); tax covenant capped at the consideration received.</w:t>
            </w:r>
          </w:p>
        </w:tc>
      </w:tr>
      <w:tr>
        <w:tc>
          <w:tcPr>
            <w:tcW w:type="dxa" w:w="2304"/>
          </w:tcPr>
          <w:p>
            <w:r/>
            <w:r>
              <w:rPr>
                <w:sz w:val="20"/>
              </w:rPr>
              <w:t>Restrictive covenants</w:t>
            </w:r>
          </w:p>
        </w:tc>
        <w:tc>
          <w:tcPr>
            <w:tcW w:type="dxa" w:w="7200"/>
          </w:tcPr>
          <w:p>
            <w:r/>
            <w:r>
              <w:rPr>
                <w:sz w:val="20"/>
              </w:rPr>
              <w:t>Non-compete and non-solicitation covenants from Geoffrey Tindale and Margaret Tindale for 3 years from Completion.</w:t>
            </w:r>
          </w:p>
        </w:tc>
      </w:tr>
      <w:tr>
        <w:tc>
          <w:tcPr>
            <w:tcW w:type="dxa" w:w="2304"/>
          </w:tcPr>
          <w:p>
            <w:r/>
            <w:r>
              <w:rPr>
                <w:sz w:val="20"/>
              </w:rPr>
              <w:t>Conditions</w:t>
            </w:r>
          </w:p>
        </w:tc>
        <w:tc>
          <w:tcPr>
            <w:tcW w:type="dxa" w:w="7200"/>
          </w:tcPr>
          <w:p>
            <w:r/>
            <w:r>
              <w:rPr>
                <w:sz w:val="20"/>
              </w:rPr>
              <w:t>Completion conditional only on (i) no material adverse change and (ii) delivery of the agreed completion deliverables. No competition or regulatory condition is anticipated.</w:t>
            </w:r>
          </w:p>
        </w:tc>
      </w:tr>
      <w:tr>
        <w:tc>
          <w:tcPr>
            <w:tcW w:type="dxa" w:w="2304"/>
          </w:tcPr>
          <w:p>
            <w:r/>
            <w:r>
              <w:rPr>
                <w:sz w:val="20"/>
              </w:rPr>
              <w:t>Exclusivity</w:t>
            </w:r>
          </w:p>
        </w:tc>
        <w:tc>
          <w:tcPr>
            <w:tcW w:type="dxa" w:w="7200"/>
          </w:tcPr>
          <w:p>
            <w:r/>
            <w:r>
              <w:rPr>
                <w:sz w:val="20"/>
              </w:rPr>
              <w:t>The Sellers grant the Buyer exclusivity until 31 December 2025 (paragraph 9 below).</w:t>
            </w:r>
          </w:p>
        </w:tc>
      </w:tr>
      <w:tr>
        <w:tc>
          <w:tcPr>
            <w:tcW w:type="dxa" w:w="2304"/>
          </w:tcPr>
          <w:p>
            <w:r/>
            <w:r>
              <w:rPr>
                <w:sz w:val="20"/>
              </w:rPr>
              <w:t>Target timetable</w:t>
            </w:r>
          </w:p>
        </w:tc>
        <w:tc>
          <w:tcPr>
            <w:tcW w:type="dxa" w:w="7200"/>
          </w:tcPr>
          <w:p>
            <w:r/>
            <w:r>
              <w:rPr>
                <w:sz w:val="20"/>
              </w:rPr>
              <w:t>Signing and Completion targeted for early December 2025.</w:t>
            </w:r>
          </w:p>
        </w:tc>
      </w:tr>
      <w:tr>
        <w:tc>
          <w:tcPr>
            <w:tcW w:type="dxa" w:w="2304"/>
          </w:tcPr>
          <w:p>
            <w:r/>
            <w:r>
              <w:rPr>
                <w:sz w:val="20"/>
              </w:rPr>
              <w:t>Costs</w:t>
            </w:r>
          </w:p>
        </w:tc>
        <w:tc>
          <w:tcPr>
            <w:tcW w:type="dxa" w:w="7200"/>
          </w:tcPr>
          <w:p>
            <w:r/>
            <w:r>
              <w:rPr>
                <w:sz w:val="20"/>
              </w:rPr>
              <w:t>Each party bears its own costs.</w:t>
            </w:r>
          </w:p>
        </w:tc>
      </w:tr>
      <w:tr>
        <w:tc>
          <w:tcPr>
            <w:tcW w:type="dxa" w:w="2304"/>
          </w:tcPr>
          <w:p>
            <w:r/>
            <w:r>
              <w:rPr>
                <w:sz w:val="20"/>
              </w:rPr>
              <w:t>Governing law</w:t>
            </w:r>
          </w:p>
        </w:tc>
        <w:tc>
          <w:tcPr>
            <w:tcW w:type="dxa" w:w="7200"/>
          </w:tcPr>
          <w:p>
            <w:r/>
            <w:r>
              <w:rPr>
                <w:sz w:val="20"/>
              </w:rPr>
              <w:t>English law; exclusive jurisdiction of the English courts.</w:t>
            </w:r>
          </w:p>
        </w:tc>
      </w:tr>
    </w:tbl>
    <w:p>
      <w:pPr>
        <w:spacing w:before="200" w:after="120"/>
      </w:pPr>
      <w:r>
        <w:rPr>
          <w:b/>
          <w:sz w:val="28"/>
        </w:rPr>
        <w:t>9.  Binding provisions</w:t>
      </w:r>
    </w:p>
    <w:p>
      <w:pPr>
        <w:spacing w:after="120"/>
      </w:pPr>
      <w:r>
        <w:rPr>
          <w:b w:val="0"/>
          <w:i w:val="0"/>
          <w:sz w:val="22"/>
        </w:rPr>
        <w:t>Save for this paragraph 9 and the paragraphs headed "Exclusivity", "Costs" and "Governing law" (which are intended to be legally binding), these heads of terms are not legally binding and are subject to contract. The Sellers undertake that, until 11.59 p.m. on 31 December 2025, they shall not, and shall procure that the Company shall not, solicit, encourage or enter into discussions with any third party in relation to any sale of the Company or its business or shares.</w:t>
      </w:r>
    </w:p>
    <w:p>
      <w:pPr>
        <w:spacing w:after="120"/>
      </w:pPr>
      <w:r>
        <w:rPr>
          <w:b w:val="0"/>
          <w:i w:val="0"/>
          <w:sz w:val="22"/>
        </w:rPr>
      </w:r>
    </w:p>
    <w:p>
      <w:pPr>
        <w:spacing w:after="80"/>
      </w:pPr>
      <w:r>
        <w:rPr>
          <w:b w:val="0"/>
          <w:i w:val="0"/>
          <w:sz w:val="22"/>
        </w:rPr>
        <w:t>Signed for and on behalf of Crestview Capital LLP: ........................  (Daniel Reeve)</w:t>
      </w:r>
    </w:p>
    <w:p>
      <w:pPr>
        <w:spacing w:after="80"/>
      </w:pPr>
      <w:r>
        <w:rPr>
          <w:b w:val="0"/>
          <w:i w:val="0"/>
          <w:sz w:val="22"/>
        </w:rPr>
        <w:t>Signed by Geoffrey Tindale: ........................</w:t>
      </w:r>
    </w:p>
    <w:p>
      <w:pPr>
        <w:spacing w:after="80"/>
      </w:pPr>
      <w:r>
        <w:rPr>
          <w:b w:val="0"/>
          <w:i w:val="0"/>
          <w:sz w:val="22"/>
        </w:rPr>
        <w:t>Signed by Margaret Tindale: ........................</w:t>
      </w:r>
    </w:p>
    <w:p>
      <w:pPr>
        <w:spacing w:after="120"/>
      </w:pPr>
      <w:r>
        <w:rPr>
          <w:b w:val="0"/>
          <w:i w:val="0"/>
          <w:sz w:val="22"/>
        </w:rPr>
        <w:t>Signed for and on behalf of Aldermarsh Nominees Limited: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