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SHARE PURCHASE AGREEMENT</w:t>
      </w:r>
    </w:p>
    <w:p>
      <w:pPr>
        <w:spacing w:after="40"/>
        <w:jc w:val="center"/>
      </w:pPr>
      <w:r>
        <w:rPr>
          <w:b w:val="0"/>
          <w:i w:val="0"/>
          <w:sz w:val="22"/>
        </w:rPr>
        <w:t>relating to the entire issued share capital of</w:t>
      </w:r>
    </w:p>
    <w:p>
      <w:pPr>
        <w:spacing w:after="200"/>
        <w:jc w:val="center"/>
      </w:pPr>
      <w:r>
        <w:rPr>
          <w:b/>
          <w:i w:val="0"/>
          <w:sz w:val="22"/>
        </w:rPr>
        <w:t>TINDALE PRECISION COATINGS LIMITED</w:t>
      </w:r>
    </w:p>
    <w:p>
      <w:pPr>
        <w:spacing w:after="80"/>
        <w:jc w:val="center"/>
      </w:pPr>
      <w:r>
        <w:rPr>
          <w:b w:val="0"/>
          <w:i/>
          <w:sz w:val="22"/>
        </w:rPr>
        <w:t>Project Harbor</w:t>
      </w:r>
    </w:p>
    <w:p>
      <w:pPr>
        <w:spacing w:after="80"/>
        <w:jc w:val="center"/>
      </w:pPr>
      <w:r>
        <w:rPr>
          <w:b/>
          <w:i w:val="0"/>
          <w:sz w:val="22"/>
        </w:rPr>
        <w:t>Draft 1 — 10 October 2025 — SUBJECT TO CONTRACT</w:t>
      </w:r>
    </w:p>
    <w:p>
      <w:pPr>
        <w:spacing w:after="200"/>
        <w:jc w:val="center"/>
      </w:pPr>
      <w:r>
        <w:rPr>
          <w:b w:val="0"/>
          <w:i/>
          <w:sz w:val="18"/>
        </w:rPr>
        <w:t>Prepared by Whitfield Carter LLP, 22 Bishopsgate, London EC2N 4BQ</w:t>
      </w:r>
    </w:p>
    <w:p>
      <w:pPr>
        <w:spacing w:after="120"/>
      </w:pPr>
      <w:r>
        <w:rPr>
          <w:b/>
          <w:i w:val="0"/>
          <w:sz w:val="22"/>
        </w:rPr>
        <w:t>PARTIES</w:t>
      </w:r>
    </w:p>
    <w:p>
      <w:pPr>
        <w:spacing w:after="120"/>
      </w:pPr>
      <w:r>
        <w:rPr>
          <w:b w:val="0"/>
          <w:i w:val="0"/>
          <w:sz w:val="22"/>
        </w:rPr>
        <w:t>(1) GEOFFREY ALAN TINDALE of Holmwood House, Meriden Road, Berkswell CV7 7BD, MARGARET ELIZABETH TINDALE of Holmwood House, Meriden Road, Berkswell CV7 7BD, and ALDERMARSH NOMINEES LIMITED (registered number 03991204) whose registered office is at 14 Priory Court, Warwick CV34 4AB (together, the "Sellers"); and</w:t>
      </w:r>
    </w:p>
    <w:p>
      <w:pPr>
        <w:spacing w:after="120"/>
      </w:pPr>
      <w:r>
        <w:rPr>
          <w:b w:val="0"/>
          <w:i w:val="0"/>
          <w:sz w:val="22"/>
        </w:rPr>
        <w:t>(2) MARWOOD BIDCO LIMITED, a company incorporated in England and Wales (registered number 16012244) whose registered office is at 18 St James's Square, London SW1Y 4JU (the "Buyer").</w:t>
      </w:r>
    </w:p>
    <w:p>
      <w:pPr>
        <w:spacing w:after="120"/>
      </w:pPr>
      <w:r>
        <w:rPr>
          <w:b/>
          <w:i w:val="0"/>
          <w:sz w:val="22"/>
        </w:rPr>
        <w:t>BACKGROUND</w:t>
      </w:r>
    </w:p>
    <w:p>
      <w:pPr>
        <w:spacing w:after="120"/>
      </w:pPr>
      <w:r>
        <w:rPr>
          <w:b w:val="0"/>
          <w:i w:val="0"/>
          <w:sz w:val="22"/>
        </w:rPr>
        <w:t>(A) Tindale Precision Coatings Limited (the "Company") is a private company limited by shares particulars of which are set out in Schedule 1.</w:t>
      </w:r>
    </w:p>
    <w:p>
      <w:pPr>
        <w:spacing w:after="120"/>
      </w:pPr>
      <w:r>
        <w:rPr>
          <w:b w:val="0"/>
          <w:i w:val="0"/>
          <w:sz w:val="22"/>
        </w:rPr>
        <w:t>(B) The Sellers are the legal and beneficial owners of the entire issued share capital of the Company in the proportions set out in Schedule 1.</w:t>
      </w:r>
    </w:p>
    <w:p>
      <w:pPr>
        <w:spacing w:after="120"/>
      </w:pPr>
      <w:r>
        <w:rPr>
          <w:b w:val="0"/>
          <w:i w:val="0"/>
          <w:sz w:val="22"/>
        </w:rPr>
        <w:t>(C) The Sellers have agreed to sell, and the Buyer has agreed to purchase, the Shares on the terms and subject to the conditions of this Agreement.</w:t>
      </w:r>
    </w:p>
    <w:p>
      <w:pPr>
        <w:spacing w:after="120"/>
      </w:pPr>
      <w:r>
        <w:rPr>
          <w:b/>
          <w:i w:val="0"/>
          <w:sz w:val="22"/>
        </w:rPr>
        <w:t>IT IS AGREED as follows:</w:t>
      </w:r>
    </w:p>
    <w:p>
      <w:pPr>
        <w:spacing w:before="200" w:after="120"/>
      </w:pPr>
      <w:r>
        <w:rPr>
          <w:b/>
          <w:sz w:val="28"/>
        </w:rPr>
        <w:t>1.  DEFINITIONS AND INTERPRETATION</w:t>
      </w:r>
    </w:p>
    <w:p>
      <w:pPr>
        <w:spacing w:after="120"/>
        <w:ind w:left="432" w:hanging="432"/>
      </w:pPr>
      <w:r>
        <w:t>1.1</w:t>
        <w:tab/>
      </w:r>
      <w:r>
        <w:t>In this Agreement, unless the context otherwise requires, the following definitions apply:</w:t>
      </w:r>
    </w:p>
    <w:p>
      <w:pPr>
        <w:spacing w:after="80"/>
        <w:ind w:left="864" w:hanging="432"/>
      </w:pPr>
      <w:r>
        <w:rPr>
          <w:b/>
        </w:rPr>
        <w:t xml:space="preserve">"Business Day" </w:t>
      </w:r>
      <w:r>
        <w:t>means a day other than a Saturday, Sunday or public holiday in England when banks in London are open for business;</w:t>
      </w:r>
    </w:p>
    <w:p>
      <w:pPr>
        <w:spacing w:after="80"/>
        <w:ind w:left="864" w:hanging="432"/>
      </w:pPr>
      <w:r>
        <w:rPr>
          <w:b/>
        </w:rPr>
        <w:t xml:space="preserve">"Completion" </w:t>
      </w:r>
      <w:r>
        <w:t>means completion of the sale and purchase of the Shares in accordance with clause 6;</w:t>
      </w:r>
    </w:p>
    <w:p>
      <w:pPr>
        <w:spacing w:after="80"/>
        <w:ind w:left="864" w:hanging="432"/>
      </w:pPr>
      <w:r>
        <w:rPr>
          <w:b/>
        </w:rPr>
        <w:t xml:space="preserve">"Completion Accounts" </w:t>
      </w:r>
      <w:r>
        <w:t>means the accounts to be prepared in accordance with Schedule 4 to determine the adjustments to the Consideration for Net Debt and Working Capital;</w:t>
      </w:r>
    </w:p>
    <w:p>
      <w:pPr>
        <w:spacing w:after="80"/>
        <w:ind w:left="864" w:hanging="432"/>
      </w:pPr>
      <w:r>
        <w:rPr>
          <w:b/>
        </w:rPr>
        <w:t xml:space="preserve">"Consideration" </w:t>
      </w:r>
      <w:r>
        <w:t>means the consideration for the Shares as set out in clause 3;</w:t>
      </w:r>
    </w:p>
    <w:p>
      <w:pPr>
        <w:spacing w:after="80"/>
        <w:ind w:left="864" w:hanging="432"/>
      </w:pPr>
      <w:r>
        <w:rPr>
          <w:b/>
        </w:rPr>
        <w:t xml:space="preserve">"Disclosure Letter" </w:t>
      </w:r>
      <w:r>
        <w:t>means the letter of the same date as this Agreement from the Sellers to the Buyer disclosing matters in relation to the Warranties;</w:t>
      </w:r>
    </w:p>
    <w:p>
      <w:pPr>
        <w:spacing w:after="80"/>
        <w:ind w:left="864" w:hanging="432"/>
      </w:pPr>
      <w:r>
        <w:rPr>
          <w:b/>
        </w:rPr>
        <w:t xml:space="preserve">"Earn-out Consideration" </w:t>
      </w:r>
      <w:r>
        <w:t>means the deferred consideration (if any) calculated and payable in accordance with Schedule 6;</w:t>
      </w:r>
    </w:p>
    <w:p>
      <w:pPr>
        <w:spacing w:after="80"/>
        <w:ind w:left="864" w:hanging="432"/>
      </w:pPr>
      <w:r>
        <w:rPr>
          <w:b/>
        </w:rPr>
        <w:t xml:space="preserve">"Encumbrance" </w:t>
      </w:r>
      <w:r>
        <w:t>means any mortgage, charge, pledge, lien, option, right of pre-emption, security interest or other third-party right or interest of any kind;</w:t>
      </w:r>
    </w:p>
    <w:p>
      <w:pPr>
        <w:spacing w:after="80"/>
        <w:ind w:left="864" w:hanging="432"/>
      </w:pPr>
      <w:r>
        <w:rPr>
          <w:b/>
        </w:rPr>
        <w:t xml:space="preserve">"Initial Consideration" </w:t>
      </w:r>
      <w:r>
        <w:t>means £37,900,000;</w:t>
      </w:r>
    </w:p>
    <w:p>
      <w:pPr>
        <w:spacing w:after="80"/>
        <w:ind w:left="864" w:hanging="432"/>
      </w:pPr>
      <w:r>
        <w:rPr>
          <w:b/>
        </w:rPr>
        <w:t xml:space="preserve">"Management Accounts" </w:t>
      </w:r>
      <w:r>
        <w:t>means the unaudited management accounts of the Company for the period from 1 April 2025 to 31 August 2025;</w:t>
      </w:r>
    </w:p>
    <w:p>
      <w:pPr>
        <w:spacing w:after="80"/>
        <w:ind w:left="864" w:hanging="432"/>
      </w:pPr>
      <w:r>
        <w:rPr>
          <w:b/>
        </w:rPr>
        <w:t xml:space="preserve">"Net Debt" </w:t>
      </w:r>
      <w:r>
        <w:t>means the aggregate of all borrowings and indebtedness in the nature of borrowing of the Company less cash and cash equivalents, as at the Completion Date, determined in accordance with Schedule 4;</w:t>
      </w:r>
    </w:p>
    <w:p>
      <w:pPr>
        <w:spacing w:after="80"/>
        <w:ind w:left="864" w:hanging="432"/>
      </w:pPr>
      <w:r>
        <w:rPr>
          <w:b/>
        </w:rPr>
        <w:t xml:space="preserve">"Retention Amount" </w:t>
      </w:r>
      <w:r>
        <w:t>means £3,790,000;</w:t>
      </w:r>
    </w:p>
    <w:p>
      <w:pPr>
        <w:spacing w:after="80"/>
        <w:ind w:left="864" w:hanging="432"/>
      </w:pPr>
      <w:r>
        <w:rPr>
          <w:b/>
        </w:rPr>
        <w:t xml:space="preserve">"Retention Account" </w:t>
      </w:r>
      <w:r>
        <w:t>means the interest-bearing joint account to be operated in accordance with Schedule 5;</w:t>
      </w:r>
    </w:p>
    <w:p>
      <w:pPr>
        <w:spacing w:after="80"/>
        <w:ind w:left="864" w:hanging="432"/>
      </w:pPr>
      <w:r>
        <w:rPr>
          <w:b/>
        </w:rPr>
        <w:t xml:space="preserve">"Shares" </w:t>
      </w:r>
      <w:r>
        <w:t>means the 1,000,000 ordinary shares of £1.00 each in the capital of the Company, comprising the entire issued share capital of the Company;</w:t>
      </w:r>
    </w:p>
    <w:p>
      <w:pPr>
        <w:spacing w:after="80"/>
        <w:ind w:left="864" w:hanging="432"/>
      </w:pPr>
      <w:r>
        <w:rPr>
          <w:b/>
        </w:rPr>
        <w:t xml:space="preserve">"Tax Covenant" </w:t>
      </w:r>
      <w:r>
        <w:t>means the covenant relating to taxation set out in Schedule 7;</w:t>
      </w:r>
    </w:p>
    <w:p>
      <w:pPr>
        <w:spacing w:after="80"/>
        <w:ind w:left="864" w:hanging="432"/>
      </w:pPr>
      <w:r>
        <w:rPr>
          <w:b/>
        </w:rPr>
        <w:t xml:space="preserve">"Warranties" </w:t>
      </w:r>
      <w:r>
        <w:t>means the warranties given by the Sellers in clause 7 and Schedule 3;</w:t>
      </w:r>
    </w:p>
    <w:p>
      <w:pPr>
        <w:spacing w:after="80"/>
        <w:ind w:left="864" w:hanging="432"/>
      </w:pPr>
      <w:r>
        <w:rPr>
          <w:b/>
        </w:rPr>
        <w:t xml:space="preserve">"Working Capital" </w:t>
      </w:r>
      <w:r>
        <w:t>means the net current assets of the Company as at the Completion Date determined in accordance with Schedule 4;</w:t>
      </w:r>
    </w:p>
    <w:p>
      <w:pPr>
        <w:spacing w:after="80"/>
        <w:ind w:left="864" w:hanging="432"/>
      </w:pPr>
      <w:r>
        <w:rPr>
          <w:b/>
        </w:rPr>
        <w:t xml:space="preserve">"Working Capital Target" </w:t>
      </w:r>
      <w:r>
        <w:t>means £1,300,000.</w:t>
      </w:r>
    </w:p>
    <w:p>
      <w:pPr>
        <w:spacing w:after="120"/>
        <w:ind w:left="432" w:hanging="432"/>
      </w:pPr>
      <w:r>
        <w:t>1.2</w:t>
        <w:tab/>
      </w:r>
      <w:r>
        <w:t>Clause, Schedule and paragraph headings do not affect interpretation. References to clauses and Schedules are to the clauses of and Schedules to this Agreement. The Schedules form part of this Agreement.</w:t>
      </w:r>
    </w:p>
    <w:p>
      <w:pPr>
        <w:spacing w:after="120"/>
        <w:ind w:left="432" w:hanging="432"/>
      </w:pPr>
      <w:r>
        <w:t>1.3</w:t>
        <w:tab/>
      </w:r>
      <w:r>
        <w:t>Words in the singular include the plural and vice versa, and a reference to one gender includes a reference to the other genders.</w:t>
      </w:r>
    </w:p>
    <w:p>
      <w:pPr>
        <w:spacing w:after="120"/>
        <w:ind w:left="432" w:hanging="432"/>
      </w:pPr>
      <w:r>
        <w:t>1.4</w:t>
        <w:tab/>
      </w:r>
      <w:r>
        <w:t>A reference to a statute or statutory provision is a reference to it as amended, extended or re-enacted from time to time.</w:t>
      </w:r>
    </w:p>
    <w:p>
      <w:pPr>
        <w:spacing w:before="200" w:after="120"/>
      </w:pPr>
      <w:r>
        <w:rPr>
          <w:b/>
          <w:sz w:val="28"/>
        </w:rPr>
        <w:t>2.  SALE AND PURCHASE</w:t>
      </w:r>
    </w:p>
    <w:p>
      <w:pPr>
        <w:spacing w:after="120"/>
        <w:ind w:left="432" w:hanging="432"/>
      </w:pPr>
      <w:r>
        <w:t>2.1</w:t>
        <w:tab/>
      </w:r>
      <w:r>
        <w:t>On the terms of this Agreement, each Seller shall sell with full title guarantee, and the Buyer shall purchase, those of the Shares set against that Seller's name in Schedule 1, together with all rights attaching to them at Completion, free from all Encumbrances.</w:t>
      </w:r>
    </w:p>
    <w:p>
      <w:pPr>
        <w:spacing w:after="120"/>
        <w:ind w:left="432" w:hanging="432"/>
      </w:pPr>
      <w:r>
        <w:t>2.2</w:t>
        <w:tab/>
      </w:r>
      <w:r>
        <w:t>Each Seller waives all rights of pre-emption or other restrictions on transfer over any of the Shares conferred on that Seller by the Company's articles of association or otherwise.</w:t>
      </w:r>
    </w:p>
    <w:p>
      <w:pPr>
        <w:spacing w:after="120"/>
        <w:ind w:left="432" w:hanging="432"/>
      </w:pPr>
      <w:r>
        <w:t>2.3</w:t>
        <w:tab/>
      </w:r>
      <w:r>
        <w:t>The Buyer is not obliged to complete the purchase of any of the Shares unless the purchase of all of the Shares is completed simultaneously.</w:t>
      </w:r>
    </w:p>
    <w:p>
      <w:pPr>
        <w:spacing w:before="200" w:after="120"/>
      </w:pPr>
      <w:r>
        <w:rPr>
          <w:b/>
          <w:sz w:val="28"/>
        </w:rPr>
        <w:t>3.  CONSIDERATION</w:t>
      </w:r>
    </w:p>
    <w:p>
      <w:pPr>
        <w:spacing w:after="120"/>
        <w:ind w:left="432" w:hanging="432"/>
      </w:pPr>
      <w:r>
        <w:t>3.1</w:t>
        <w:tab/>
      </w:r>
      <w:r>
        <w:t>The total consideration for the Shares is the aggregate of the Initial Consideration, the adjustments determined under clause 4 and the Earn-out Consideration (if any).</w:t>
      </w:r>
    </w:p>
    <w:p>
      <w:pPr>
        <w:spacing w:after="120"/>
        <w:ind w:left="432" w:hanging="432"/>
      </w:pPr>
      <w:r>
        <w:t>3.2</w:t>
        <w:tab/>
      </w:r>
      <w:r>
        <w:t>At Completion the Buyer shall pay the Initial Consideration as follows: (a) £34,110,000 to the Sellers' Solicitors in the proportions set out in Schedule 1; and (b) £3,790,000 (the Retention Amount) into the Retention Account in accordance with Schedule 5.</w:t>
      </w:r>
    </w:p>
    <w:p>
      <w:pPr>
        <w:spacing w:after="120"/>
        <w:ind w:left="432" w:hanging="432"/>
      </w:pPr>
      <w:r>
        <w:t>3.3</w:t>
        <w:tab/>
      </w:r>
      <w:r>
        <w:t>The Consideration shall be adjusted following determination of the Completion Accounts in accordance with clause 4 and Schedule 4.</w:t>
      </w:r>
    </w:p>
    <w:p>
      <w:pPr>
        <w:spacing w:after="120"/>
        <w:ind w:left="432" w:hanging="432"/>
      </w:pPr>
      <w:r>
        <w:t>3.4</w:t>
        <w:tab/>
      </w:r>
      <w:r>
        <w:t>Any Earn-out Consideration shall be calculated and paid in accordance with Schedule 6.</w:t>
      </w:r>
    </w:p>
    <w:p>
      <w:pPr>
        <w:spacing w:after="120"/>
        <w:ind w:left="432" w:hanging="432"/>
      </w:pPr>
      <w:r>
        <w:t>3.5</w:t>
        <w:tab/>
      </w:r>
      <w:r>
        <w:t>Any payment made by the Sellers to the Buyer in respect of any claim under the Warranties or the Tax Covenant shall be treated as a reduction in the Consideration.</w:t>
      </w:r>
    </w:p>
    <w:p>
      <w:pPr>
        <w:spacing w:before="200" w:after="120"/>
      </w:pPr>
      <w:r>
        <w:rPr>
          <w:b/>
          <w:sz w:val="28"/>
        </w:rPr>
        <w:t>4.  COMPLETION ACCOUNTS AND ADJUSTMENTS</w:t>
      </w:r>
    </w:p>
    <w:p>
      <w:pPr>
        <w:spacing w:after="120"/>
        <w:ind w:left="432" w:hanging="432"/>
      </w:pPr>
      <w:r>
        <w:t>4.1</w:t>
        <w:tab/>
      </w:r>
      <w:r>
        <w:t>The Completion Accounts shall be prepared and the adjustments to the Consideration determined in accordance with Schedule 4.</w:t>
      </w:r>
    </w:p>
    <w:p>
      <w:pPr>
        <w:spacing w:after="120"/>
        <w:ind w:left="432" w:hanging="432"/>
      </w:pPr>
      <w:r>
        <w:t>4.2</w:t>
        <w:tab/>
      </w:r>
      <w:r>
        <w:t>If Net Debt as shown in the Completion Accounts exceeds the estimated Net Debt of £3,600,000, the Sellers shall pay the excess to the Buyer; if it is less, the Buyer shall pay the shortfall to the Sellers.</w:t>
      </w:r>
    </w:p>
    <w:p>
      <w:pPr>
        <w:spacing w:after="120"/>
        <w:ind w:left="432" w:hanging="432"/>
      </w:pPr>
      <w:r>
        <w:t>4.3</w:t>
        <w:tab/>
      </w:r>
      <w:r>
        <w:t>If Working Capital as shown in the Completion Accounts is less than the Working Capital Target, the Sellers shall pay the shortfall to the Buyer; if it exceeds the Working Capital Target, the Buyer shall pay the excess to the Sellers.</w:t>
      </w:r>
    </w:p>
    <w:p>
      <w:pPr>
        <w:spacing w:after="120"/>
        <w:ind w:left="432" w:hanging="432"/>
      </w:pPr>
      <w:r>
        <w:t>4.4</w:t>
        <w:tab/>
      </w:r>
      <w:r>
        <w:t>Any adjusting payment shall be made within 10 Business Days of the Completion Accounts becoming final and binding, first by recourse to the Retention Account where the Sellers are the paying party.</w:t>
      </w:r>
    </w:p>
    <w:p>
      <w:pPr>
        <w:spacing w:before="200" w:after="120"/>
      </w:pPr>
      <w:r>
        <w:rPr>
          <w:b/>
          <w:sz w:val="28"/>
        </w:rPr>
        <w:t>5.  PRE-COMPLETION CONDUCT</w:t>
      </w:r>
    </w:p>
    <w:p>
      <w:pPr>
        <w:spacing w:after="120"/>
        <w:ind w:left="432" w:hanging="432"/>
      </w:pPr>
      <w:r>
        <w:t>5.1</w:t>
        <w:tab/>
      </w:r>
      <w:r>
        <w:t>Between the date of this Agreement and Completion the Sellers shall procure that the Company carries on its business in the ordinary course and in accordance with the provisions of Schedule 8, and shall not take any of the actions listed in Schedule 8 without the prior written consent of the Buyer (such consent not to be unreasonably withheld or delayed).</w:t>
      </w:r>
    </w:p>
    <w:p>
      <w:pPr>
        <w:spacing w:before="200" w:after="120"/>
      </w:pPr>
      <w:r>
        <w:rPr>
          <w:b/>
          <w:sz w:val="28"/>
        </w:rPr>
        <w:t>6.  COMPLETION</w:t>
      </w:r>
    </w:p>
    <w:p>
      <w:pPr>
        <w:spacing w:after="120"/>
        <w:ind w:left="432" w:hanging="432"/>
      </w:pPr>
      <w:r>
        <w:t>6.1</w:t>
        <w:tab/>
      </w:r>
      <w:r>
        <w:t>Completion shall take place at the offices of the Buyer's Solicitors on the date of this Agreement (or such other place, date and time as the parties may agree).</w:t>
      </w:r>
    </w:p>
    <w:p>
      <w:pPr>
        <w:spacing w:after="120"/>
        <w:ind w:left="432" w:hanging="432"/>
      </w:pPr>
      <w:r>
        <w:t>6.2</w:t>
        <w:tab/>
      </w:r>
      <w:r>
        <w:t>At Completion the Sellers shall deliver or procure the delivery of the documents and shall do those things set out in Part 1 of Schedule 2, including duly executed transfers of the Shares, the share certificates, the statutory books of the Company, resignations of the resigning directors and the Disclosure Letter.</w:t>
      </w:r>
    </w:p>
    <w:p>
      <w:pPr>
        <w:spacing w:after="120"/>
        <w:ind w:left="432" w:hanging="432"/>
      </w:pPr>
      <w:r>
        <w:t>6.3</w:t>
        <w:tab/>
      </w:r>
      <w:r>
        <w:t>At Completion the Buyer shall pay the Initial Consideration in accordance with clause 3.2 and deliver the documents set out in Part 2 of Schedule 2.</w:t>
      </w:r>
    </w:p>
    <w:p>
      <w:pPr>
        <w:spacing w:before="200" w:after="120"/>
      </w:pPr>
      <w:r>
        <w:rPr>
          <w:b/>
          <w:sz w:val="28"/>
        </w:rPr>
        <w:t>7.  WARRANTIES</w:t>
      </w:r>
    </w:p>
    <w:p>
      <w:pPr>
        <w:spacing w:after="120"/>
        <w:ind w:left="432" w:hanging="432"/>
      </w:pPr>
      <w:r>
        <w:t>7.1</w:t>
        <w:tab/>
      </w:r>
      <w:r>
        <w:t>The Sellers severally warrant to the Buyer that each of the Warranties set out in Schedule 3 is true and accurate as at the date of this Agreement, subject only to the matters fairly disclosed in the Disclosure Letter.</w:t>
      </w:r>
    </w:p>
    <w:p>
      <w:pPr>
        <w:spacing w:after="120"/>
        <w:ind w:left="432" w:hanging="432"/>
      </w:pPr>
      <w:r>
        <w:t>7.2</w:t>
        <w:tab/>
      </w:r>
      <w:r>
        <w:t>Each Warranty is to be construed independently and is not limited by reference to any other Warranty.</w:t>
      </w:r>
    </w:p>
    <w:p>
      <w:pPr>
        <w:spacing w:after="120"/>
        <w:ind w:left="432" w:hanging="432"/>
      </w:pPr>
      <w:r>
        <w:t>7.3</w:t>
        <w:tab/>
      </w:r>
      <w:r>
        <w:t>The Sellers' liability under the Warranties is limited as set out in clause 8 and Schedule 9.</w:t>
      </w:r>
    </w:p>
    <w:p>
      <w:pPr>
        <w:spacing w:after="120"/>
        <w:ind w:left="432" w:hanging="432"/>
      </w:pPr>
      <w:r>
        <w:t>7.4</w:t>
        <w:tab/>
      </w:r>
      <w:r>
        <w:t>Each Seller undertakes not to make any claim against the Company or any of its directors, officers or employees in connection with any information supplied to the Sellers in connection with the Warranties or the Disclosure Letter.</w:t>
      </w:r>
    </w:p>
    <w:p>
      <w:pPr>
        <w:spacing w:before="200" w:after="120"/>
      </w:pPr>
      <w:r>
        <w:rPr>
          <w:b/>
          <w:sz w:val="28"/>
        </w:rPr>
        <w:t>8.  LIMITATIONS ON LIABILITY</w:t>
      </w:r>
    </w:p>
    <w:p>
      <w:pPr>
        <w:spacing w:after="120"/>
        <w:ind w:left="432" w:hanging="432"/>
      </w:pPr>
      <w:r>
        <w:t>8.1</w:t>
        <w:tab/>
      </w:r>
      <w:r>
        <w:t>The Sellers shall not be liable in respect of any claim under the Warranties (a "Warranty Claim") unless the amount of that claim exceeds £41,500, and the aggregate amount of all such claims (each exceeding that figure) exceeds £415,000, in which case the Sellers shall be liable for the whole amount and not merely the excess.</w:t>
      </w:r>
    </w:p>
    <w:p>
      <w:pPr>
        <w:spacing w:after="120"/>
        <w:ind w:left="432" w:hanging="432"/>
      </w:pPr>
      <w:r>
        <w:t>8.2</w:t>
        <w:tab/>
      </w:r>
      <w:r>
        <w:t>The aggregate liability of the Sellers in respect of all Warranty Claims (other than claims under the Fundamental Warranties or the Tax Covenant) shall not exceed £37,900,000, being 100% of the Initial Consideration.</w:t>
      </w:r>
    </w:p>
    <w:p>
      <w:pPr>
        <w:spacing w:after="120"/>
        <w:ind w:left="432" w:hanging="432"/>
      </w:pPr>
      <w:r>
        <w:t>8.3</w:t>
        <w:tab/>
      </w:r>
      <w:r>
        <w:t>The aggregate liability of the Sellers in respect of all claims under this Agreement, including the Tax Covenant and the Fundamental Warranties, shall not exceed the total Consideration actually received by the Sellers.</w:t>
      </w:r>
    </w:p>
    <w:p>
      <w:pPr>
        <w:spacing w:after="120"/>
        <w:ind w:left="432" w:hanging="432"/>
      </w:pPr>
      <w:r>
        <w:t>8.4</w:t>
        <w:tab/>
      </w:r>
      <w:r>
        <w:t>The Sellers shall not be liable for any Warranty Claim unless written notice of the claim (stating in reasonable detail the nature of the claim and, so far as practicable, the amount claimed) is given by the Buyer to the Sellers on or before the date falling 24 months after Completion, save in the case of claims under the Tax Covenant, for which the period is 7 years.</w:t>
      </w:r>
    </w:p>
    <w:p>
      <w:pPr>
        <w:spacing w:after="120"/>
        <w:ind w:left="432" w:hanging="432"/>
      </w:pPr>
      <w:r>
        <w:t>8.5</w:t>
        <w:tab/>
      </w:r>
      <w:r>
        <w:t>The Sellers shall not be liable for any Warranty Claim to the extent that the matter giving rise to the claim was fairly disclosed in the Disclosure Letter, or was provided for or noted in the Completion Accounts, or arises from a change of law or accounting policy after Completion.</w:t>
      </w:r>
    </w:p>
    <w:p>
      <w:pPr>
        <w:spacing w:before="200" w:after="120"/>
      </w:pPr>
      <w:r>
        <w:rPr>
          <w:b/>
          <w:sz w:val="28"/>
        </w:rPr>
        <w:t>9.  RESTRICTIVE COVENANTS</w:t>
      </w:r>
    </w:p>
    <w:p>
      <w:pPr>
        <w:spacing w:after="120"/>
        <w:ind w:left="432" w:hanging="432"/>
      </w:pPr>
      <w:r>
        <w:t>9.1</w:t>
        <w:tab/>
      </w:r>
      <w:r>
        <w:t>Each of Geoffrey Tindale and Margaret Tindale covenants with the Buyer that he or she shall not, for a period of 3 years from Completion, directly or indirectly: (a) carry on or be engaged in any business competing with the business of the Company within the United Kingdom; (b) solicit the custom of any person who was a customer of the Company in the 12 months before Completion; or (c) solicit or entice away any senior employee of the Company.</w:t>
      </w:r>
    </w:p>
    <w:p>
      <w:pPr>
        <w:spacing w:after="120"/>
        <w:ind w:left="432" w:hanging="432"/>
      </w:pPr>
      <w:r>
        <w:t>9.2</w:t>
        <w:tab/>
      </w:r>
      <w:r>
        <w:t>The covenants in clause 9.1 are considered by the parties to be reasonable and necessary for the protection of the goodwill of the business acquired. Each is a separate and independent covenant.</w:t>
      </w:r>
    </w:p>
    <w:p>
      <w:pPr>
        <w:spacing w:before="200" w:after="120"/>
      </w:pPr>
      <w:r>
        <w:rPr>
          <w:b/>
          <w:sz w:val="28"/>
        </w:rPr>
        <w:t>10.  CONFIDENTIALITY AND ANNOUNCEMENTS</w:t>
      </w:r>
    </w:p>
    <w:p>
      <w:pPr>
        <w:spacing w:after="120"/>
        <w:ind w:left="432" w:hanging="432"/>
      </w:pPr>
      <w:r>
        <w:t>10.1</w:t>
        <w:tab/>
      </w:r>
      <w:r>
        <w:t>Each party shall keep confidential the terms of this Agreement and all information relating to the other parties, save as required by law or regulation or with the prior written consent of the other parties.</w:t>
      </w:r>
    </w:p>
    <w:p>
      <w:pPr>
        <w:spacing w:after="120"/>
        <w:ind w:left="432" w:hanging="432"/>
      </w:pPr>
      <w:r>
        <w:t>10.2</w:t>
        <w:tab/>
      </w:r>
      <w:r>
        <w:t>No announcement concerning the transaction shall be made by any party without the prior written approval of the others (not to be unreasonably withheld).</w:t>
      </w:r>
    </w:p>
    <w:p>
      <w:pPr>
        <w:spacing w:before="200" w:after="120"/>
      </w:pPr>
      <w:r>
        <w:rPr>
          <w:b/>
          <w:sz w:val="28"/>
        </w:rPr>
        <w:t>11.  GENERAL</w:t>
      </w:r>
    </w:p>
    <w:p>
      <w:pPr>
        <w:spacing w:after="120"/>
        <w:ind w:left="432" w:hanging="432"/>
      </w:pPr>
      <w:r>
        <w:t>11.1</w:t>
        <w:tab/>
      </w:r>
      <w:r>
        <w:t>Notices: Any notice under this Agreement shall be in writing and delivered by hand, pre-paid first-class post or email to the address or email address of the relevant party set out in this Agreement or otherwise notified in writing.</w:t>
      </w:r>
    </w:p>
    <w:p>
      <w:pPr>
        <w:spacing w:after="120"/>
        <w:ind w:left="432" w:hanging="432"/>
      </w:pPr>
      <w:r>
        <w:t>11.2</w:t>
        <w:tab/>
      </w:r>
      <w:r>
        <w:t>Entire agreement: This Agreement, together with the documents referred to in it, constitutes the entire agreement between the parties and supersedes all prior arrangements, save that nothing limits liability for fraud.</w:t>
      </w:r>
    </w:p>
    <w:p>
      <w:pPr>
        <w:spacing w:after="120"/>
        <w:ind w:left="432" w:hanging="432"/>
      </w:pPr>
      <w:r>
        <w:t>11.3</w:t>
        <w:tab/>
      </w:r>
      <w:r>
        <w:t>Assignment: No party may assign or otherwise deal with any of its rights under this Agreement without the prior written consent of the others, save that the Buyer may assign to a member of its group or to its financiers by way of security.</w:t>
      </w:r>
    </w:p>
    <w:p>
      <w:pPr>
        <w:spacing w:after="120"/>
        <w:ind w:left="432" w:hanging="432"/>
      </w:pPr>
      <w:r>
        <w:t>11.4</w:t>
        <w:tab/>
      </w:r>
      <w:r>
        <w:t>Third-party rights: Save as expressly provided, a person who is not a party has no rights under the Contracts (Rights of Third Parties) Act 1999 to enforce any term of this Agreement.</w:t>
      </w:r>
    </w:p>
    <w:p>
      <w:pPr>
        <w:spacing w:after="120"/>
        <w:ind w:left="432" w:hanging="432"/>
      </w:pPr>
      <w:r>
        <w:t>11.5</w:t>
        <w:tab/>
      </w:r>
      <w:r>
        <w:t>Counterparts: This Agreement may be executed in any number of counterparts, each of which when executed and delivered constitutes an original, and all of which together constitute one agreement.</w:t>
      </w:r>
    </w:p>
    <w:p>
      <w:pPr>
        <w:spacing w:after="120"/>
        <w:ind w:left="432" w:hanging="432"/>
      </w:pPr>
      <w:r>
        <w:t>11.6</w:t>
        <w:tab/>
      </w:r>
      <w:r>
        <w:t>Governing law and jurisdiction: This Agreement and any dispute arising out of or in connection with it are governed by English law, and the parties submit to the exclusive jurisdiction of the courts of England and Wales.</w:t>
      </w:r>
    </w:p>
    <w:p>
      <w:pPr>
        <w:spacing w:before="200" w:after="120"/>
      </w:pPr>
      <w:r>
        <w:rPr>
          <w:b/>
          <w:sz w:val="24"/>
        </w:rPr>
        <w:t>SCHEDULE 1 — THE COMPANY AND THE SELLERS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312"/>
          </w:tcPr>
          <w:p>
            <w:r/>
            <w:r>
              <w:rPr>
                <w:b/>
                <w:sz w:val="20"/>
              </w:rPr>
              <w:t>Seller</w:t>
            </w:r>
          </w:p>
        </w:tc>
        <w:tc>
          <w:tcPr>
            <w:tcW w:type="dxa" w:w="1872"/>
          </w:tcPr>
          <w:p>
            <w:r/>
            <w:r>
              <w:rPr>
                <w:b/>
                <w:sz w:val="20"/>
              </w:rPr>
              <w:t>Number of Shares</w:t>
            </w:r>
          </w:p>
        </w:tc>
        <w:tc>
          <w:tcPr>
            <w:tcW w:type="dxa" w:w="1440"/>
          </w:tcPr>
          <w:p>
            <w:r/>
            <w:r>
              <w:rPr>
                <w:b/>
                <w:sz w:val="20"/>
              </w:rPr>
              <w:t>% Holding</w:t>
            </w:r>
          </w:p>
        </w:tc>
        <w:tc>
          <w:tcPr>
            <w:tcW w:type="dxa" w:w="3168"/>
          </w:tcPr>
          <w:p>
            <w:r/>
            <w:r>
              <w:rPr>
                <w:b/>
                <w:sz w:val="20"/>
              </w:rPr>
              <w:t>Proportion of Initial Consideration (£)</w:t>
            </w:r>
          </w:p>
        </w:tc>
      </w:tr>
      <w:tr>
        <w:tc>
          <w:tcPr>
            <w:tcW w:type="dxa" w:w="3312"/>
          </w:tcPr>
          <w:p>
            <w:r/>
            <w:r>
              <w:rPr>
                <w:sz w:val="20"/>
              </w:rPr>
              <w:t>Geoffrey Alan Tindale</w:t>
            </w:r>
          </w:p>
        </w:tc>
        <w:tc>
          <w:tcPr>
            <w:tcW w:type="dxa" w:w="1872"/>
          </w:tcPr>
          <w:p>
            <w:r/>
            <w:r>
              <w:rPr>
                <w:sz w:val="20"/>
              </w:rPr>
              <w:t>600,000</w:t>
            </w:r>
          </w:p>
        </w:tc>
        <w:tc>
          <w:tcPr>
            <w:tcW w:type="dxa" w:w="1440"/>
          </w:tcPr>
          <w:p>
            <w:r/>
            <w:r>
              <w:rPr>
                <w:sz w:val="20"/>
              </w:rPr>
              <w:t>60%</w:t>
            </w:r>
          </w:p>
        </w:tc>
        <w:tc>
          <w:tcPr>
            <w:tcW w:type="dxa" w:w="3168"/>
          </w:tcPr>
          <w:p>
            <w:r/>
            <w:r>
              <w:rPr>
                <w:sz w:val="20"/>
              </w:rPr>
              <w:t>22,740,000</w:t>
            </w:r>
          </w:p>
        </w:tc>
      </w:tr>
      <w:tr>
        <w:tc>
          <w:tcPr>
            <w:tcW w:type="dxa" w:w="3312"/>
          </w:tcPr>
          <w:p>
            <w:r/>
            <w:r>
              <w:rPr>
                <w:sz w:val="20"/>
              </w:rPr>
              <w:t>Margaret Elizabeth Tindale</w:t>
            </w:r>
          </w:p>
        </w:tc>
        <w:tc>
          <w:tcPr>
            <w:tcW w:type="dxa" w:w="1872"/>
          </w:tcPr>
          <w:p>
            <w:r/>
            <w:r>
              <w:rPr>
                <w:sz w:val="20"/>
              </w:rPr>
              <w:t>250,000</w:t>
            </w:r>
          </w:p>
        </w:tc>
        <w:tc>
          <w:tcPr>
            <w:tcW w:type="dxa" w:w="1440"/>
          </w:tcPr>
          <w:p>
            <w:r/>
            <w:r>
              <w:rPr>
                <w:sz w:val="20"/>
              </w:rPr>
              <w:t>25%</w:t>
            </w:r>
          </w:p>
        </w:tc>
        <w:tc>
          <w:tcPr>
            <w:tcW w:type="dxa" w:w="3168"/>
          </w:tcPr>
          <w:p>
            <w:r/>
            <w:r>
              <w:rPr>
                <w:sz w:val="20"/>
              </w:rPr>
              <w:t>9,475,000</w:t>
            </w:r>
          </w:p>
        </w:tc>
      </w:tr>
      <w:tr>
        <w:tc>
          <w:tcPr>
            <w:tcW w:type="dxa" w:w="3312"/>
          </w:tcPr>
          <w:p>
            <w:r/>
            <w:r>
              <w:rPr>
                <w:sz w:val="20"/>
              </w:rPr>
              <w:t>Aldermarsh Nominees Limited</w:t>
            </w:r>
          </w:p>
        </w:tc>
        <w:tc>
          <w:tcPr>
            <w:tcW w:type="dxa" w:w="1872"/>
          </w:tcPr>
          <w:p>
            <w:r/>
            <w:r>
              <w:rPr>
                <w:sz w:val="20"/>
              </w:rPr>
              <w:t>150,000</w:t>
            </w:r>
          </w:p>
        </w:tc>
        <w:tc>
          <w:tcPr>
            <w:tcW w:type="dxa" w:w="1440"/>
          </w:tcPr>
          <w:p>
            <w:r/>
            <w:r>
              <w:rPr>
                <w:sz w:val="20"/>
              </w:rPr>
              <w:t>15%</w:t>
            </w:r>
          </w:p>
        </w:tc>
        <w:tc>
          <w:tcPr>
            <w:tcW w:type="dxa" w:w="3168"/>
          </w:tcPr>
          <w:p>
            <w:r/>
            <w:r>
              <w:rPr>
                <w:sz w:val="20"/>
              </w:rPr>
              <w:t>5,685,000</w:t>
            </w:r>
          </w:p>
        </w:tc>
      </w:tr>
      <w:tr>
        <w:tc>
          <w:tcPr>
            <w:tcW w:type="dxa" w:w="3312"/>
          </w:tcPr>
          <w:p>
            <w:r/>
            <w:r>
              <w:rPr>
                <w:sz w:val="20"/>
              </w:rPr>
              <w:t>Total</w:t>
            </w:r>
          </w:p>
        </w:tc>
        <w:tc>
          <w:tcPr>
            <w:tcW w:type="dxa" w:w="1872"/>
          </w:tcPr>
          <w:p>
            <w:r/>
            <w:r>
              <w:rPr>
                <w:sz w:val="20"/>
              </w:rPr>
              <w:t>1,000,000</w:t>
            </w:r>
          </w:p>
        </w:tc>
        <w:tc>
          <w:tcPr>
            <w:tcW w:type="dxa" w:w="1440"/>
          </w:tcPr>
          <w:p>
            <w:r/>
            <w:r>
              <w:rPr>
                <w:sz w:val="20"/>
              </w:rPr>
              <w:t>100%</w:t>
            </w:r>
          </w:p>
        </w:tc>
        <w:tc>
          <w:tcPr>
            <w:tcW w:type="dxa" w:w="3168"/>
          </w:tcPr>
          <w:p>
            <w:r/>
            <w:r>
              <w:rPr>
                <w:sz w:val="20"/>
              </w:rPr>
              <w:t>37,900,000</w:t>
            </w:r>
          </w:p>
        </w:tc>
      </w:tr>
    </w:tbl>
    <w:p>
      <w:pPr>
        <w:spacing w:after="120"/>
      </w:pPr>
      <w:r>
        <w:rPr>
          <w:b w:val="0"/>
          <w:i w:val="0"/>
          <w:sz w:val="22"/>
        </w:rPr>
        <w:t>Company: Tindale Precision Coatings Limited, incorporated in England and Wales on 14 March 2001, company number 04188736; registered office Brookmill Works, Atherstone Road, Coventry CV7 9QD; directors Geoffrey Tindale, Margaret Tindale and David Okeke; accounting reference date 31 March.</w:t>
      </w:r>
    </w:p>
    <w:p>
      <w:pPr>
        <w:spacing w:before="200" w:after="120"/>
      </w:pPr>
      <w:r>
        <w:rPr>
          <w:b/>
          <w:sz w:val="24"/>
        </w:rPr>
        <w:t>SCHEDULE 2 — COMPLETION OBLIGATIONS</w:t>
      </w:r>
    </w:p>
    <w:p>
      <w:pPr>
        <w:spacing w:after="120"/>
      </w:pPr>
      <w:r>
        <w:rPr>
          <w:b w:val="0"/>
          <w:i w:val="0"/>
          <w:sz w:val="22"/>
        </w:rPr>
        <w:t>Part 1 (Sellers' obligations): duly executed stock transfer forms in respect of the Shares; the share certificates (or indemnities for any lost certificates); the statutory registers and minute books; the certificate of incorporation and common seal (if any); resignations under seal of the resigning directors; the executed Disclosure Letter; the executed service agreement of Geoffrey Tindale; bank mandates and evidence of release of all Encumbrances over the Shares and assets; and board minutes of the Company approving the transfers and the resignations and appointments.</w:t>
      </w:r>
    </w:p>
    <w:p>
      <w:pPr>
        <w:spacing w:after="120"/>
      </w:pPr>
      <w:r>
        <w:rPr>
          <w:b w:val="0"/>
          <w:i w:val="0"/>
          <w:sz w:val="22"/>
        </w:rPr>
        <w:t>Part 2 (Buyer's obligations): payment of the Initial Consideration in accordance with clause 3.2; a certified copy of the board resolution of the Buyer authorising the transaction; and the executed counterpart Disclosure Letter acknowledgement.</w:t>
      </w:r>
    </w:p>
    <w:p>
      <w:pPr>
        <w:spacing w:before="200" w:after="120"/>
      </w:pPr>
      <w:r>
        <w:rPr>
          <w:b/>
          <w:sz w:val="24"/>
        </w:rPr>
        <w:t>SCHEDULE 3 — WARRANTIES</w:t>
      </w:r>
    </w:p>
    <w:p>
      <w:pPr>
        <w:spacing w:after="120"/>
        <w:ind w:left="432" w:hanging="432"/>
      </w:pPr>
      <w:r>
        <w:t>3.1</w:t>
        <w:tab/>
      </w:r>
      <w:r>
        <w:t>Capacity and authority: each Seller has full power and authority to enter into and perform this Agreement and the Shares are fully paid and free from Encumbrances.</w:t>
      </w:r>
    </w:p>
    <w:p>
      <w:pPr>
        <w:spacing w:after="120"/>
        <w:ind w:left="432" w:hanging="432"/>
      </w:pPr>
      <w:r>
        <w:t>3.2</w:t>
        <w:tab/>
      </w:r>
      <w:r>
        <w:t>The Company: the particulars in Schedule 1 are true and accurate and the Company has no subsidiaries other than as disclosed.</w:t>
      </w:r>
    </w:p>
    <w:p>
      <w:pPr>
        <w:spacing w:after="120"/>
        <w:ind w:left="432" w:hanging="432"/>
      </w:pPr>
      <w:r>
        <w:t>3.3</w:t>
        <w:tab/>
      </w:r>
      <w:r>
        <w:t>Accounts: the audited accounts for the year ended 31 March 2025 have been prepared in accordance with applicable accounting standards and give a true and fair view of the state of affairs and profit or loss of the Company.</w:t>
      </w:r>
    </w:p>
    <w:p>
      <w:pPr>
        <w:spacing w:after="120"/>
        <w:ind w:left="432" w:hanging="432"/>
      </w:pPr>
      <w:r>
        <w:t>3.4</w:t>
        <w:tab/>
      </w:r>
      <w:r>
        <w:t>Management Accounts: the Management Accounts have been prepared with reasonable care on a basis consistent with the audited accounts.</w:t>
      </w:r>
    </w:p>
    <w:p>
      <w:pPr>
        <w:spacing w:after="120"/>
        <w:ind w:left="432" w:hanging="432"/>
      </w:pPr>
      <w:r>
        <w:t>3.5</w:t>
        <w:tab/>
      </w:r>
      <w:r>
        <w:t>Position since the accounts date: since 31 March 2025 the business has been carried on in the ordinary course and there has been no material adverse change in its financial or trading position.</w:t>
      </w:r>
    </w:p>
    <w:p>
      <w:pPr>
        <w:spacing w:after="120"/>
        <w:ind w:left="432" w:hanging="432"/>
      </w:pPr>
      <w:r>
        <w:t>3.6</w:t>
        <w:tab/>
      </w:r>
      <w:r>
        <w:t>Assets: the Company owns or is entitled to use all assets necessary for the carrying on of its business as currently conducted, including its thermal-spray plant and coating lines.</w:t>
      </w:r>
    </w:p>
    <w:p>
      <w:pPr>
        <w:spacing w:after="120"/>
        <w:ind w:left="432" w:hanging="432"/>
      </w:pPr>
      <w:r>
        <w:t>3.7</w:t>
        <w:tab/>
      </w:r>
      <w:r>
        <w:t>Contracts: the Company is not party to any contract that is material and outside the ordinary course, and no counterparty to a material contract has given notice to terminate.</w:t>
      </w:r>
    </w:p>
    <w:p>
      <w:pPr>
        <w:spacing w:after="120"/>
        <w:ind w:left="432" w:hanging="432"/>
      </w:pPr>
      <w:r>
        <w:t>3.8</w:t>
        <w:tab/>
      </w:r>
      <w:r>
        <w:t>Customers and suppliers: in the 12 months before the date of this Agreement no customer accounting for more than 10% of turnover and no key supplier has ceased or indicated an intention to cease to deal with the Company.</w:t>
      </w:r>
    </w:p>
    <w:p>
      <w:pPr>
        <w:spacing w:after="120"/>
        <w:ind w:left="432" w:hanging="432"/>
      </w:pPr>
      <w:r>
        <w:t>3.9</w:t>
        <w:tab/>
      </w:r>
      <w:r>
        <w:t>Intellectual property and IT: the Company owns or has the right to use all material intellectual property and IT systems used in its business, free from material third-party claims.</w:t>
      </w:r>
    </w:p>
    <w:p>
      <w:pPr>
        <w:spacing w:after="120"/>
        <w:ind w:left="432" w:hanging="432"/>
      </w:pPr>
      <w:r>
        <w:t>3.10</w:t>
        <w:tab/>
      </w:r>
      <w:r>
        <w:t>Employees: the particulars of employees and their terms have been disclosed and there is no material outstanding dispute with any employee or trade union.</w:t>
      </w:r>
    </w:p>
    <w:p>
      <w:pPr>
        <w:spacing w:after="120"/>
        <w:ind w:left="432" w:hanging="432"/>
      </w:pPr>
      <w:r>
        <w:t>3.11</w:t>
        <w:tab/>
      </w:r>
      <w:r>
        <w:t>Litigation: the Company is not engaged in any material litigation, arbitration or regulatory proceedings and none is pending or threatened.</w:t>
      </w:r>
    </w:p>
    <w:p>
      <w:pPr>
        <w:spacing w:after="120"/>
        <w:ind w:left="432" w:hanging="432"/>
      </w:pPr>
      <w:r>
        <w:t>3.12</w:t>
        <w:tab/>
      </w:r>
      <w:r>
        <w:t>Compliance and licences: the Company holds all material licences and consents required for its business, including environmental permits, and is in material compliance with them.</w:t>
      </w:r>
    </w:p>
    <w:p>
      <w:pPr>
        <w:spacing w:after="120"/>
        <w:ind w:left="432" w:hanging="432"/>
      </w:pPr>
      <w:r>
        <w:t>3.13</w:t>
        <w:tab/>
      </w:r>
      <w:r>
        <w:t>Environment: the Company has at all material times complied in all material respects with environmental law and there are no circumstances likely to give rise to material environmental liability.</w:t>
      </w:r>
    </w:p>
    <w:p>
      <w:pPr>
        <w:spacing w:after="120"/>
        <w:ind w:left="432" w:hanging="432"/>
      </w:pPr>
      <w:r>
        <w:t>3.14</w:t>
        <w:tab/>
      </w:r>
      <w:r>
        <w:t>Tax: the Company has duly and punctually paid all taxation for which it is liable and has made all returns required, and is not the subject of any current tax dispute or investigation.</w:t>
      </w:r>
    </w:p>
    <w:p>
      <w:pPr>
        <w:spacing w:before="200" w:after="120"/>
      </w:pPr>
      <w:r>
        <w:rPr>
          <w:b/>
          <w:sz w:val="24"/>
        </w:rPr>
        <w:t>SCHEDULE 4 — COMPLETION ACCOUNTS</w:t>
      </w:r>
    </w:p>
    <w:p>
      <w:pPr>
        <w:spacing w:after="120"/>
      </w:pPr>
      <w:r>
        <w:rPr>
          <w:b w:val="0"/>
          <w:i w:val="0"/>
          <w:sz w:val="22"/>
        </w:rPr>
        <w:t>The Completion Accounts shall be prepared as at the close of business on the Completion Date on a basis consistent with the audited accounts for the year ended 31 March 2025, applying the specific accounting policies set out in this Schedule. The Buyer shall procure that draft Completion Accounts are delivered to the Sellers within 45 Business Days of Completion. The Sellers shall have 20 Business Days to review and notify any objections. Any unresolved matters shall be referred to an independent firm of chartered accountants acting as expert and not as arbitrator, whose determination shall be final and binding save in the case of manifest error.</w:t>
      </w:r>
    </w:p>
    <w:p>
      <w:pPr>
        <w:spacing w:before="200" w:after="120"/>
      </w:pPr>
      <w:r>
        <w:rPr>
          <w:b/>
          <w:sz w:val="24"/>
        </w:rPr>
        <w:t>SCHEDULE 5 — RETENTION ACCOUNT</w:t>
      </w:r>
    </w:p>
    <w:p>
      <w:pPr>
        <w:spacing w:after="120"/>
      </w:pPr>
      <w:r>
        <w:rPr>
          <w:b w:val="0"/>
          <w:i w:val="0"/>
          <w:sz w:val="22"/>
        </w:rPr>
        <w:t>The Retention Amount of £3,790,000 shall be paid into the Retention Account at Completion and held by the Sellers' Solicitors and the Buyer's Solicitors as joint stakeholders. The Retention Account shall be available to satisfy (a) any adjusting payment due from the Sellers under Schedule 4 and (b) any Warranty Claim or Tax Covenant claim that has been agreed or finally determined. The balance (if any) shall be released to the Sellers on the date falling 18 months after Completion, less the amount of any then-outstanding claims notified in accordance with clause 8.4.</w:t>
      </w:r>
    </w:p>
    <w:p>
      <w:pPr>
        <w:spacing w:before="200" w:after="120"/>
      </w:pPr>
      <w:r>
        <w:rPr>
          <w:b/>
          <w:sz w:val="24"/>
        </w:rPr>
        <w:t>SCHEDULE 6 — EARN-OUT</w:t>
      </w:r>
    </w:p>
    <w:p>
      <w:pPr>
        <w:spacing w:after="120"/>
      </w:pPr>
      <w:r>
        <w:rPr>
          <w:b w:val="0"/>
          <w:i w:val="0"/>
          <w:sz w:val="22"/>
        </w:rPr>
        <w:t>The Earn-out Consideration shall be an amount of up to £4,000,000 calculated by reference to the Company's audited EBITDA for the financial year ending 31 March 2027 ("Earn-out EBITDA"). No Earn-out Consideration is payable if Earn-out EBITDA is £5,400,000 or less. For Earn-out EBITDA above £5,400,000, the Earn-out Consideration is £4 for every £1 of Earn-out EBITDA above £5,400,000, capped at £4,000,000 (i.e. the cap is reached at Earn-out EBITDA of £6,400,000). The Buyer shall procure that during the earn-out period the Company is operated in good faith and not in a manner intended to artificially reduce Earn-out EBITDA.</w:t>
      </w:r>
    </w:p>
    <w:p>
      <w:pPr>
        <w:spacing w:before="200" w:after="120"/>
      </w:pPr>
      <w:r>
        <w:rPr>
          <w:b/>
          <w:sz w:val="24"/>
        </w:rPr>
        <w:t>SCHEDULE 7 — TAX COVENANT</w:t>
      </w:r>
    </w:p>
    <w:p>
      <w:pPr>
        <w:spacing w:after="120"/>
      </w:pPr>
      <w:r>
        <w:rPr>
          <w:b w:val="0"/>
          <w:i w:val="0"/>
          <w:sz w:val="22"/>
        </w:rPr>
        <w:t>The Sellers covenant to pay to the Buyer an amount equal to any liability to taxation of the Company arising in respect of any event occurring, or income, profits or gains earned, on or before Completion, save to the extent provided for in the Completion Accounts or arising in the ordinary course of business since the accounts date. The Tax Covenant is subject to the limitations in clause 8 and to the conduct, time-limit and exclusion provisions set out in this Schedule. Claims under the Tax Covenant may be brought up to 7 years after Completion.</w:t>
      </w:r>
    </w:p>
    <w:p>
      <w:pPr>
        <w:spacing w:before="200" w:after="120"/>
      </w:pPr>
      <w:r>
        <w:rPr>
          <w:b/>
          <w:sz w:val="24"/>
        </w:rPr>
        <w:t>SCHEDULE 8 — CONDUCT OF BUSINESS PENDING COMPLETION</w:t>
      </w:r>
    </w:p>
    <w:p>
      <w:pPr>
        <w:spacing w:after="120"/>
      </w:pPr>
      <w:r>
        <w:rPr>
          <w:b w:val="0"/>
          <w:i w:val="0"/>
          <w:sz w:val="22"/>
        </w:rPr>
        <w:t>Without the Buyer's prior written consent, the Sellers shall procure that the Company does not: declare or pay any dividend or other distribution; create or issue any share capital or grant any option over it; create any Encumbrance over its assets; dispose of or acquire any material asset or business; enter into, terminate or materially vary any material contract; increase the remuneration of any director or senior employee otherwise than in the ordinary course; or incur any borrowing other than ordinary-course trade credit.</w:t>
      </w:r>
    </w:p>
    <w:p>
      <w:pPr>
        <w:spacing w:before="200" w:after="120"/>
      </w:pPr>
      <w:r>
        <w:rPr>
          <w:b/>
          <w:sz w:val="24"/>
        </w:rPr>
        <w:t>SCHEDULE 9 — FURTHER LIMITATIONS</w:t>
      </w:r>
    </w:p>
    <w:p>
      <w:pPr>
        <w:spacing w:after="120"/>
      </w:pPr>
      <w:r>
        <w:rPr>
          <w:b w:val="0"/>
          <w:i w:val="0"/>
          <w:sz w:val="22"/>
        </w:rPr>
        <w:t>The provisions of clause 8 are supplemented by the further limitations in this Schedule, including provisions on recovery from third parties and insurers, the conduct of third-party claims, the avoidance of double recovery, mitigation, and the exclusion of liability for contingent or non-quantifiable losses until they become actual liabilities.</w:t>
      </w:r>
    </w:p>
    <w:p>
      <w:pPr>
        <w:spacing w:after="120"/>
      </w:pPr>
      <w:r>
        <w:rPr>
          <w:b w:val="0"/>
          <w:i w:val="0"/>
          <w:sz w:val="22"/>
        </w:rPr>
      </w:r>
    </w:p>
    <w:p>
      <w:pPr>
        <w:spacing w:after="200"/>
      </w:pPr>
      <w:r>
        <w:rPr>
          <w:b w:val="0"/>
          <w:i w:val="0"/>
          <w:sz w:val="22"/>
        </w:rPr>
        <w:t>IN WITNESS of which the parties have executed this Agreement as a deed and have delivered it on the date set out above.</w:t>
      </w:r>
    </w:p>
    <w:p>
      <w:pPr>
        <w:spacing w:after="120"/>
      </w:pPr>
      <w:r>
        <w:rPr>
          <w:b w:val="0"/>
          <w:i w:val="0"/>
          <w:sz w:val="22"/>
        </w:rPr>
        <w:t>EXECUTED as a DEED by GEOFFREY ALAN TINDALE in the presence of: ........................</w:t>
      </w:r>
    </w:p>
    <w:p>
      <w:pPr>
        <w:spacing w:after="120"/>
      </w:pPr>
      <w:r>
        <w:rPr>
          <w:b w:val="0"/>
          <w:i w:val="0"/>
          <w:sz w:val="22"/>
        </w:rPr>
        <w:t>EXECUTED as a DEED by MARGARET ELIZABETH TINDALE in the presence of: ........................</w:t>
      </w:r>
    </w:p>
    <w:p>
      <w:pPr>
        <w:spacing w:after="120"/>
      </w:pPr>
      <w:r>
        <w:rPr>
          <w:b w:val="0"/>
          <w:i w:val="0"/>
          <w:sz w:val="22"/>
        </w:rPr>
        <w:t>EXECUTED as a DEED by ALDERMARSH NOMINEES LIMITED acting by a director: ........................</w:t>
      </w:r>
    </w:p>
    <w:p>
      <w:pPr>
        <w:spacing w:after="120"/>
      </w:pPr>
      <w:r>
        <w:rPr>
          <w:b w:val="0"/>
          <w:i w:val="0"/>
          <w:sz w:val="22"/>
        </w:rPr>
        <w:t>EXECUTED as a DEED by MARWOOD BIDCO LIMITED acting by a director: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