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SHARE PURCHASE AGREEMENT — REDLINE</w:t>
      </w:r>
    </w:p>
    <w:p>
      <w:pPr>
        <w:spacing w:after="40"/>
        <w:jc w:val="center"/>
      </w:pPr>
      <w:r>
        <w:rPr>
          <w:b/>
          <w:i w:val="0"/>
          <w:sz w:val="22"/>
        </w:rPr>
        <w:t>Tindale Precision Coatings Limited — Project Harbor</w:t>
      </w:r>
    </w:p>
    <w:p>
      <w:pPr>
        <w:spacing w:after="40"/>
        <w:jc w:val="center"/>
      </w:pPr>
      <w:r>
        <w:rPr>
          <w:b/>
          <w:i w:val="0"/>
          <w:sz w:val="22"/>
        </w:rPr>
        <w:t>Draft 3 (Buyer's counter mark-up) — 12 November 2025 — SUBJECT TO CONTRACT</w:t>
      </w:r>
    </w:p>
    <w:p>
      <w:pPr>
        <w:spacing w:after="200"/>
        <w:jc w:val="center"/>
      </w:pPr>
      <w:r>
        <w:rPr>
          <w:b w:val="0"/>
          <w:i/>
          <w:sz w:val="18"/>
        </w:rPr>
        <w:t>Counter mark-up by Whitfield Carter LLP on behalf of the Buyer, against the Sellers' Draft 2</w:t>
      </w:r>
    </w:p>
    <w:p>
      <w:pPr>
        <w:spacing w:after="200"/>
      </w:pPr>
      <w:r>
        <w:rPr>
          <w:b w:val="0"/>
          <w:i/>
          <w:sz w:val="18"/>
        </w:rPr>
        <w:t>This mark-up shows tracked changes against the immediately preceding draft. Clauses not reproduced are unchanged. Changes are attributed to the reviewing party and dated.</w:t>
      </w:r>
    </w:p>
    <w:p>
      <w:pPr>
        <w:spacing w:before="200" w:after="120"/>
      </w:pPr>
      <w:r>
        <w:rPr>
          <w:b/>
          <w:sz w:val="28"/>
        </w:rPr>
        <w:t>8.  LIMITATIONS ON LIABILITY</w:t>
      </w:r>
    </w:p>
    <w:p>
      <w:pPr>
        <w:spacing w:after="120"/>
        <w:ind w:left="432" w:hanging="432"/>
      </w:pPr>
      <w:r>
        <w:t>8.1</w:t>
        <w:tab/>
        <w:t xml:space="preserve">The Sellers shall not be liable in respect of any Warranty Claim unless the amount of that claim exceeds </w:t>
      </w:r>
      <w:del w:id="1015" w:author="Whitfield Carter LLP" w:date="2025-11-12T15:00:00Z">
        <w:r>
          <w:delText xml:space="preserve">£50,000</w:delText>
        </w:r>
      </w:del>
      <w:ins w:id="1016" w:author="Whitfield Carter LLP" w:date="2025-11-12T15:00:00Z">
        <w:r>
          <w:t xml:space="preserve">£45,000</w:t>
        </w:r>
      </w:ins>
      <w:r>
        <w:t xml:space="preserve">, and the aggregate of all such claims exceeds </w:t>
      </w:r>
    </w:p>
    <w:p>
      <w:pPr>
        <w:spacing w:after="120"/>
        <w:ind w:left="432" w:hanging="432"/>
      </w:pPr>
      <w:r>
        <w:t>8.1 (cont.)</w:t>
        <w:tab/>
      </w:r>
      <w:del w:id="1017" w:author="Whitfield Carter LLP" w:date="2025-11-12T15:00:00Z">
        <w:r>
          <w:delText xml:space="preserve">£600,000</w:delText>
        </w:r>
      </w:del>
      <w:ins w:id="1018" w:author="Whitfield Carter LLP" w:date="2025-11-12T15:00:00Z">
        <w:r>
          <w:t xml:space="preserve">£500,000</w:t>
        </w:r>
      </w:ins>
      <w:r>
        <w:t>, in which case the Sellers shall be liable for the whole amount.</w:t>
      </w:r>
    </w:p>
    <w:p>
      <w:pPr>
        <w:spacing w:after="120"/>
        <w:ind w:left="432" w:hanging="432"/>
      </w:pPr>
      <w:r>
        <w:t>8.2</w:t>
        <w:tab/>
        <w:t xml:space="preserve">The aggregate liability of the Sellers in respect of all Warranty Claims (other than the Fundamental Warranties or the Tax Covenant) shall not exceed </w:t>
      </w:r>
      <w:del w:id="1019" w:author="Whitfield Carter LLP" w:date="2025-11-12T15:05:00Z">
        <w:r>
          <w:delText xml:space="preserve">£9,475,000, being 25% of the Initial Consideration</w:delText>
        </w:r>
      </w:del>
      <w:ins w:id="1020" w:author="Whitfield Carter LLP" w:date="2025-11-12T15:05:00Z">
        <w:r>
          <w:t xml:space="preserve">£7,580,000, being 20% of the Initial Consideration</w:t>
        </w:r>
      </w:ins>
      <w:r>
        <w:t>.</w:t>
      </w:r>
    </w:p>
    <w:p>
      <w:pPr>
        <w:spacing w:after="120"/>
        <w:ind w:left="432" w:hanging="432"/>
      </w:pPr>
      <w:r>
        <w:t>8.4</w:t>
        <w:tab/>
        <w:t xml:space="preserve">Written notice of any Warranty Claim must be given on or before the date falling 18 months after Completion, save in the case of claims under the Tax Covenant, for which the period is </w:t>
      </w:r>
      <w:del w:id="1021" w:author="Whitfield Carter LLP" w:date="2025-11-12T15:09:00Z">
        <w:r>
          <w:delText xml:space="preserve">6 years</w:delText>
        </w:r>
      </w:del>
      <w:ins w:id="1022" w:author="Whitfield Carter LLP" w:date="2025-11-12T15:09:00Z">
        <w:r>
          <w:t xml:space="preserve">7 years</w:t>
        </w:r>
      </w:ins>
      <w:r>
        <w:t xml:space="preserve"> after Completion.</w:t>
      </w:r>
    </w:p>
    <w:p>
      <w:pPr>
        <w:spacing w:before="200" w:after="120"/>
      </w:pPr>
      <w:r>
        <w:rPr>
          <w:b/>
          <w:sz w:val="28"/>
        </w:rPr>
        <w:t>9.  RESTRICTIVE COVENANTS</w:t>
      </w:r>
    </w:p>
    <w:p>
      <w:pPr>
        <w:spacing w:after="120"/>
        <w:ind w:left="432" w:hanging="432"/>
      </w:pPr>
      <w:r>
        <w:t>9.1</w:t>
        <w:tab/>
        <w:t xml:space="preserve">Each of Geoffrey Tindale and Margaret Tindale covenants that he or she shall not, for a period of </w:t>
      </w:r>
      <w:del w:id="1023" w:author="Whitfield Carter LLP" w:date="2025-11-12T15:14:00Z">
        <w:r>
          <w:delText xml:space="preserve">2 years</w:delText>
        </w:r>
      </w:del>
      <w:ins w:id="1024" w:author="Whitfield Carter LLP" w:date="2025-11-12T15:14:00Z">
        <w:r>
          <w:t xml:space="preserve">3 years</w:t>
        </w:r>
      </w:ins>
      <w:r>
        <w:t xml:space="preserve"> from Completion, compete with or solicit the customers or senior employees of the business within the United Kingdom.</w:t>
      </w:r>
    </w:p>
    <w:p>
      <w:pPr>
        <w:spacing w:before="200" w:after="120"/>
      </w:pPr>
      <w:r>
        <w:rPr>
          <w:b/>
          <w:sz w:val="24"/>
        </w:rPr>
        <w:t>SCHEDULE 5 — RETENTION ACCOUNT</w:t>
      </w:r>
    </w:p>
    <w:p>
      <w:pPr>
        <w:spacing w:after="120"/>
        <w:ind w:left="432" w:hanging="432"/>
      </w:pPr>
      <w:r>
        <w:t>5 (release)</w:t>
        <w:tab/>
        <w:t xml:space="preserve">The balance of the Retention Account (if any) shall be released to the Sellers on the date falling </w:t>
      </w:r>
      <w:del w:id="1025" w:author="Whitfield Carter LLP" w:date="2025-11-12T15:20:00Z">
        <w:r>
          <w:delText xml:space="preserve">18 months</w:delText>
        </w:r>
      </w:del>
      <w:ins w:id="1026" w:author="Whitfield Carter LLP" w:date="2025-11-12T15:20:00Z">
        <w:r>
          <w:t xml:space="preserve">18 months</w:t>
        </w:r>
      </w:ins>
      <w:r>
        <w:t xml:space="preserve"> after Completion, less the amount of any then-outstanding notified claims.</w:t>
      </w:r>
    </w:p>
    <w:p>
      <w:pPr>
        <w:spacing w:before="200" w:after="120"/>
      </w:pPr>
      <w:r>
        <w:rPr>
          <w:b/>
          <w:sz w:val="24"/>
        </w:rPr>
        <w:t>SCHEDULE 6 — EARN-OUT</w:t>
      </w:r>
    </w:p>
    <w:p>
      <w:pPr>
        <w:spacing w:after="120"/>
        <w:ind w:left="432" w:hanging="432"/>
      </w:pPr>
      <w:r>
        <w:t>6 (threshold)</w:t>
        <w:tab/>
        <w:t xml:space="preserve">No Earn-out Consideration is payable if Earn-out EBITDA is </w:t>
      </w:r>
      <w:del w:id="1027" w:author="Whitfield Carter LLP" w:date="2025-11-12T15:25:00Z">
        <w:r>
          <w:delText xml:space="preserve">£5,200,000</w:delText>
        </w:r>
      </w:del>
      <w:ins w:id="1028" w:author="Whitfield Carter LLP" w:date="2025-11-12T15:25:00Z">
        <w:r>
          <w:t xml:space="preserve">£5,400,000</w:t>
        </w:r>
      </w:ins>
      <w:r>
        <w:t xml:space="preserve"> or less; thereafter £4 per £1 of EBITDA above the threshold, capped at £4,000,000 (cap reached at £6,400,000 of Earn-out EBITDA).</w:t>
      </w:r>
    </w:p>
    <w:p>
      <w:r>
        <w:rPr>
          <w:i/>
          <w:color w:val="777777"/>
          <w:sz w:val="16"/>
        </w:rPr>
        <w:t>Whitfield Carter LLP is a limited liability partnership registered in England and Wales. This communication is confidential and may be legally privileged.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