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b/>
          <w:bCs/>
          <w:color w:val="1F3864"/>
          <w:sz w:val="28"/>
          <w:szCs w:val="28"/>
        </w:rPr>
        <w:t xml:space="preserve">Whitfield Carter LLP</w:t>
      </w:r>
    </w:p>
    <w:p>
      <w:pPr>
        <w:pBdr>
          <w:bottom w:val="single" w:color="1F3864" w:sz="6" w:space="4"/>
        </w:pBdr>
        <w:spacing w:after="120"/>
        <w:jc w:val="right"/>
      </w:pPr>
      <w:r>
        <w:rPr>
          <w:color w:val="888888"/>
          <w:sz w:val="14"/>
          <w:szCs w:val="14"/>
        </w:rPr>
        <w:t xml:space="preserve">22 Bishopsgate, London EC2N 4BQ  ·  whitfieldcarter.com</w:t>
      </w:r>
    </w:p>
    <w:p>
      <w:pPr>
        <w:spacing w:after="60" w:before="120"/>
        <w:jc w:val="center"/>
      </w:pPr>
      <w:r>
        <w:rPr>
          <w:b/>
          <w:bCs/>
          <w:sz w:val="26"/>
          <w:szCs w:val="26"/>
        </w:rPr>
        <w:t xml:space="preserve">COMPLETION CHECKLIST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Project Ironvale — Acquisition of Stradbrook Thermal Limited  ·  Completion: 12 December 2025</w:t>
      </w:r>
    </w:p>
    <w:p>
      <w:pPr>
        <w:spacing w:after="140"/>
      </w:pPr>
      <w:r>
        <w:t xml:space="preserve">Parties: (1) the Sellers; (2) Crestview Ironvale Bidco Limited (Buyer). Advisers: Whitfield Carter LLP (Buyer); Hargrove &amp; Associates LLP (Sellers).</w:t>
      </w:r>
    </w:p>
    <w:p>
      <w:pPr>
        <w:pStyle w:val="Heading2"/>
      </w:pPr>
      <w:r>
        <w:t xml:space="preserve">A. Conditions to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2500"/>
        <w:gridCol w:w="15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A1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W&amp;I insurance policy bound (Aldgate Specialty)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Buyer / 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Buyer funding confirmed (equity + Northbank facility)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A3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Bring-down of Warranties / no MAC confirmation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Sellers / Hargrove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A4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Change-of-control consent (Hollencroft)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Sellers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Outstanding — waived by Buyer</w:t>
            </w:r>
          </w:p>
        </w:tc>
      </w:tr>
    </w:tbl>
    <w:p>
      <w:pPr>
        <w:pStyle w:val="Heading2"/>
      </w:pPr>
      <w:r>
        <w:t xml:space="preserve">B. Documents to be delivered by the Sellers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60"/>
        <w:gridCol w:w="25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B1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Stock transfer forms for the Shares (executed)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B2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certificates / indemnity for lost certificates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B3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Board minutes of the Company (transfers, director appointments, registered office)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B4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Resignation letters — resigning directors and secretary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B5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Disclosure Letter (executed)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B6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Deed of release of Northbank debenture / guarantees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B7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Statutory books and company seal (if any)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B8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Service agreement — Daniel Stradbrook (executed)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B9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Escrow Agreement (executed by Sellers)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</w:tbl>
    <w:p>
      <w:pPr>
        <w:pStyle w:val="Heading2"/>
      </w:pPr>
      <w:r>
        <w:t xml:space="preserve">C. Documents to be delivered by the Buyer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60"/>
        <w:gridCol w:w="25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C1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Buyer board resolution approving the transaction (certified copy)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C2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Escrow Agreement (executed by Buyer)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C3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CHAPS payment instruction — £39,200,000 to Sellers' Solicitors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C4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CHAPS payment instruction — £2,000,000 to Escrow Account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</w:tbl>
    <w:p>
      <w:pPr>
        <w:pStyle w:val="Heading2"/>
      </w:pPr>
      <w:r>
        <w:t xml:space="preserve">D. Post-completion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2500"/>
        <w:gridCol w:w="15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D1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Stamp SPA / stock transfer forms; pay SDLT/stamp duty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Buyer / 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File SH01/AP01/TM01/AD01 at Companies House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Buyer / 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D3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Update PSC register / statutory books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Buyer / 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D4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Completion Accounts process (draft within 45 BD)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Pending</w:t>
            </w:r>
          </w:p>
        </w:tc>
      </w:tr>
    </w:tbl>
    <w:p>
      <w:pPr>
        <w:spacing w:after="0"/>
      </w:pPr>
      <w:r>
        <w:rPr>
          <w:i/>
          <w:iCs/>
          <w:sz w:val="18"/>
          <w:szCs w:val="18"/>
        </w:rPr>
        <w:t xml:space="preserve">Prepared by Elena Marchetti, Whitfield Carter LLP. Version: completion draft, 11 December 2025.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Project Ironvale — Completion Checklist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480"/>
      </w:pPr>
    </w:lvl>
    <w:lvl w:ilvl="1" w15:tentative="1">
      <w:start w:val="1"/>
      <w:numFmt w:val="lowerLetter"/>
      <w:lvlText w:val="(%2)"/>
      <w:lvlJc w:val="left"/>
      <w:pPr>
        <w:ind w:left="960" w:hanging="4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2026-06-29T13:05:04.034Z</dcterms:created>
  <dcterms:modified xsi:type="dcterms:W3CDTF">2026-06-29T13:05:04.034Z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