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right"/>
      </w:pPr>
      <w:r>
        <w:rPr>
          <w:b/>
          <w:bCs/>
          <w:color w:val="1F3864"/>
          <w:sz w:val="28"/>
          <w:szCs w:val="28"/>
        </w:rPr>
        <w:t xml:space="preserve">Whitfield Carter LLP</w:t>
      </w:r>
    </w:p>
    <w:p>
      <w:pPr>
        <w:pBdr>
          <w:bottom w:val="single" w:color="1F3864" w:sz="6" w:space="4"/>
        </w:pBdr>
        <w:spacing w:after="120"/>
        <w:jc w:val="right"/>
      </w:pPr>
      <w:r>
        <w:rPr>
          <w:color w:val="888888"/>
          <w:sz w:val="14"/>
          <w:szCs w:val="14"/>
        </w:rPr>
        <w:t xml:space="preserve">22 Bishopsgate, London EC2N 4BQ  ·  whitfieldcarter.com</w:t>
      </w:r>
    </w:p>
    <w:p>
      <w:pPr>
        <w:spacing w:after="100"/>
      </w:pPr>
      <w:r>
        <w:rPr>
          <w:b/>
          <w:bCs/>
          <w:sz w:val="18"/>
          <w:szCs w:val="18"/>
        </w:rPr>
        <w:t xml:space="preserve">STRICTLY PRIVATE &amp; CONFIDENTIAL — SUBJECT TO CONTRACT</w:t>
      </w:r>
    </w:p>
    <w:p>
      <w:pPr>
        <w:spacing w:after="60" w:before="120"/>
        <w:jc w:val="center"/>
      </w:pPr>
      <w:r>
        <w:rPr>
          <w:b/>
          <w:bCs/>
          <w:sz w:val="26"/>
          <w:szCs w:val="26"/>
        </w:rPr>
        <w:t xml:space="preserve">DISCLOSURE LETTER</w:t>
      </w:r>
    </w:p>
    <w:p>
      <w:pPr>
        <w:spacing w:after="200"/>
        <w:jc w:val="center"/>
      </w:pPr>
      <w:r>
        <w:rPr>
          <w:i/>
          <w:iCs/>
          <w:color w:val="555555"/>
          <w:sz w:val="18"/>
          <w:szCs w:val="18"/>
        </w:rPr>
        <w:t xml:space="preserve">Project Ironvale — Stradbrook Thermal Limited</w:t>
      </w:r>
    </w:p>
    <w:p>
      <w:pPr>
        <w:spacing w:after="0"/>
      </w:pPr>
      <w:r>
        <w:t xml:space="preserve">To:  Crestview Ironvale Bidco Limited  (the "Buyer")</w:t>
      </w:r>
    </w:p>
    <w:p>
      <w:pPr>
        <w:spacing w:after="0"/>
      </w:pPr>
      <w:r>
        <w:t xml:space="preserve">From:  the Sellers</w:t>
      </w:r>
    </w:p>
    <w:p>
      <w:pPr>
        <w:spacing w:after="160"/>
      </w:pPr>
      <w:r>
        <w:t xml:space="preserve">Date:  12 December 2025</w:t>
      </w:r>
    </w:p>
    <w:p>
      <w:pPr>
        <w:spacing w:after="100"/>
      </w:pPr>
      <w:r>
        <w:t xml:space="preserve">Dear Sirs</w:t>
      </w:r>
    </w:p>
    <w:p>
      <w:pPr>
        <w:spacing w:after="100"/>
      </w:pPr>
      <w:r>
        <w:rPr>
          <w:b/>
          <w:bCs/>
        </w:rPr>
        <w:t xml:space="preserve">Project Ironvale — Share Purchase Agreement of even date (the "Agreement")</w:t>
      </w:r>
    </w:p>
    <w:p>
      <w:pPr>
        <w:spacing w:after="100"/>
      </w:pPr>
      <w:r>
        <w:t xml:space="preserve">This is the Disclosure Letter referred to in the Agreement. Terms defined in the Agreement have the same meaning in this letter. This letter is delivered under and qualifies the Warranties set out in Schedule 4 of the Agreement.</w:t>
      </w:r>
    </w:p>
    <w:p>
      <w:pPr>
        <w:pStyle w:val="Heading2"/>
      </w:pPr>
      <w:r>
        <w:t xml:space="preserve">1. General</w:t>
      </w:r>
    </w:p>
    <w:p>
      <w:pPr>
        <w:pStyle w:val="ListParagraph"/>
        <w:numPr>
          <w:ilvl w:val="0"/>
          <w:numId w:val="2"/>
        </w:numPr>
        <w:spacing w:after="90"/>
      </w:pPr>
      <w:r>
        <w:t xml:space="preserve">The Warranties are given subject to, and the Buyer is treated as having knowledge of, all matters fairly disclosed in this letter and in the documents in the Data Room (the index of which is annexed at Schedule 8 of the Agreement). Where a matter is disclosed against one Warranty, it is treated as disclosed against all Warranties to which it is relevant.</w:t>
      </w:r>
    </w:p>
    <w:p>
      <w:pPr>
        <w:pStyle w:val="ListParagraph"/>
        <w:numPr>
          <w:ilvl w:val="0"/>
          <w:numId w:val="2"/>
        </w:numPr>
        <w:spacing w:after="90"/>
      </w:pPr>
      <w:r>
        <w:t xml:space="preserve">All matters appearing from the statutory registers of the Company, the documents filed at Companies House, and the contents of the Data Room as at 5.00pm on 9 December 2025 are deemed to be fairly disclosed.</w:t>
      </w:r>
    </w:p>
    <w:p>
      <w:pPr>
        <w:pStyle w:val="Heading2"/>
      </w:pPr>
      <w:r>
        <w:t xml:space="preserve">2. Specific disclosures</w:t>
      </w:r>
    </w:p>
    <w:p>
      <w:pPr>
        <w:spacing w:after="100"/>
      </w:pPr>
      <w:r>
        <w:t xml:space="preserve">The following specific disclosures are made against the numbered Warranties: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BBBBB" w:sz="1"/>
              <w:left w:val="single" w:color="BBBBBB" w:sz="1"/>
              <w:bottom w:val="single" w:color="BBBBBB" w:sz="1"/>
              <w:right w:val="single" w:color="BBBBBB" w:sz="1"/>
            </w:tcBorders>
            <w:shd w:fill="1F3864" w:val="clear"/>
            <w:tcMar>
              <w:top w:type="dxa" w:w="50"/>
              <w:left w:type="dxa" w:w="90"/>
              <w:bottom w:type="dxa" w:w="50"/>
              <w:right w:type="dxa" w:w="90"/>
            </w:tcMar>
          </w:tcPr>
          <w:p>
            <w:r>
              <w:rPr>
                <w:b/>
                <w:bCs/>
                <w:color w:val="FFFFFF"/>
                <w:sz w:val="17"/>
                <w:szCs w:val="17"/>
              </w:rPr>
              <w:t xml:space="preserve">Warranty</w:t>
            </w:r>
          </w:p>
        </w:tc>
        <w:tc>
          <w:tcPr>
            <w:tcW w:type="dxa" w:w="7860"/>
            <w:tcBorders>
              <w:top w:val="single" w:color="BBBBBB" w:sz="1"/>
              <w:left w:val="single" w:color="BBBBBB" w:sz="1"/>
              <w:bottom w:val="single" w:color="BBBBBB" w:sz="1"/>
              <w:right w:val="single" w:color="BBBBBB" w:sz="1"/>
            </w:tcBorders>
            <w:shd w:fill="1F3864" w:val="clear"/>
            <w:tcMar>
              <w:top w:type="dxa" w:w="50"/>
              <w:left w:type="dxa" w:w="90"/>
              <w:bottom w:type="dxa" w:w="50"/>
              <w:right w:type="dxa" w:w="90"/>
            </w:tcMar>
          </w:tcPr>
          <w:p>
            <w:r>
              <w:rPr>
                <w:b/>
                <w:bCs/>
                <w:color w:val="FFFFFF"/>
                <w:sz w:val="17"/>
                <w:szCs w:val="17"/>
              </w:rPr>
              <w:t xml:space="preserve">Disclosure</w:t>
            </w:r>
          </w:p>
        </w:tc>
      </w:tr>
      <w:tr>
        <w:tc>
          <w:tcPr>
            <w:tcW w:type="dxa" w:w="15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4.2 (Accounts)</w:t>
            </w:r>
          </w:p>
        </w:tc>
        <w:tc>
          <w:tcPr>
            <w:tcW w:type="dxa" w:w="78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The Accounts include a provision of £180,000 in respect of a warranty claim by a customer (Northstar Cooling Systems) relating to a 2023 chiller installation. The claim was settled in March 2025 for £142,000; the balance of the provision was released in the Management Accounts.</w:t>
            </w:r>
          </w:p>
        </w:tc>
      </w:tr>
      <w:tr>
        <w:tc>
          <w:tcPr>
            <w:tcW w:type="dxa" w:w="15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4.5 (Contracts)</w:t>
            </w:r>
          </w:p>
        </w:tc>
        <w:tc>
          <w:tcPr>
            <w:tcW w:type="dxa" w:w="78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The Company's largest customer contract (with Hollencroft Industrial Group plc, c.18% of revenue) contains a change-of-control clause entitling the customer to terminate on a change of control of the Company. A consent letter has been requested and is at Data Room ref 4.3.7 (response awaited).</w:t>
            </w:r>
          </w:p>
        </w:tc>
      </w:tr>
      <w:tr>
        <w:tc>
          <w:tcPr>
            <w:tcW w:type="dxa" w:w="15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4.6 (Intellectual property)</w:t>
            </w:r>
          </w:p>
        </w:tc>
        <w:tc>
          <w:tcPr>
            <w:tcW w:type="dxa" w:w="78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The Company's principal product trademark "THERMACORE" is registered in the UK (UK00003214887) but the EU application (018761442) remains pending opposition by a third party. See Data Room ref 5.2.</w:t>
            </w:r>
          </w:p>
        </w:tc>
      </w:tr>
      <w:tr>
        <w:tc>
          <w:tcPr>
            <w:tcW w:type="dxa" w:w="15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4.7 (Employment)</w:t>
            </w:r>
          </w:p>
        </w:tc>
        <w:tc>
          <w:tcPr>
            <w:tcW w:type="dxa" w:w="78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Daniel Stradbrook's existing service agreement entitles him to 12 months' notice; this is to be replaced by the new service agreement at Completion. Two employees are currently on long-term sick leave (Data Room ref 6.4).</w:t>
            </w:r>
          </w:p>
        </w:tc>
      </w:tr>
      <w:tr>
        <w:tc>
          <w:tcPr>
            <w:tcW w:type="dxa" w:w="15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4.8 (Litigation)</w:t>
            </w:r>
          </w:p>
        </w:tc>
        <w:tc>
          <w:tcPr>
            <w:tcW w:type="dxa" w:w="78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Save for the settled Northstar matter (above), there is a small-claims dispute with a former supplier (Reyland Components) for £8,400 disputed invoices, defended.</w:t>
            </w:r>
          </w:p>
        </w:tc>
      </w:tr>
      <w:tr>
        <w:tc>
          <w:tcPr>
            <w:tcW w:type="dxa" w:w="15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4.9 (Compliance / environmental)</w:t>
            </w:r>
          </w:p>
        </w:tc>
        <w:tc>
          <w:tcPr>
            <w:tcW w:type="dxa" w:w="78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The Northampton site holds an environmental permit for its degreasing process; a 2024 Environment Agency inspection raised two minor observations, both since closed out (Data Room ref 7.1).</w:t>
            </w:r>
          </w:p>
        </w:tc>
      </w:tr>
      <w:tr>
        <w:tc>
          <w:tcPr>
            <w:tcW w:type="dxa" w:w="15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4.10 (Tax)</w:t>
            </w:r>
          </w:p>
        </w:tc>
        <w:tc>
          <w:tcPr>
            <w:tcW w:type="dxa" w:w="78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sz w:val="17"/>
                <w:szCs w:val="17"/>
              </w:rPr>
              <w:t xml:space="preserve">An R&amp;D tax-credit claim for the year ended 31 December 2023 (£96,000) is the subject of an open HMRC enquiry; the Company's advisers consider the claim well-founded. See Data Room ref 8.3.</w:t>
            </w:r>
          </w:p>
        </w:tc>
      </w:tr>
    </w:tbl>
    <w:p>
      <w:pPr>
        <w:pStyle w:val="Heading2"/>
      </w:pPr>
      <w:r>
        <w:t xml:space="preserve">3. Acknowledgement</w:t>
      </w:r>
    </w:p>
    <w:p>
      <w:pPr>
        <w:spacing w:after="100"/>
      </w:pPr>
      <w:r>
        <w:t xml:space="preserve">The Buyer acknowledges receipt of this letter and the Data Room. Nothing in this letter constitutes a representation or warranty by the Sellers beyond those expressly set out in the Agreement.</w:t>
      </w:r>
    </w:p>
    <w:p>
      <w:pPr>
        <w:spacing w:after="40"/>
      </w:pPr>
      <w:r>
        <w:t xml:space="preserve">Yours faithfully</w:t>
      </w:r>
    </w:p>
    <w:p>
      <w:pPr>
        <w:spacing w:after="0"/>
      </w:pPr>
      <w:r>
        <w:t xml:space="preserve">.......................................</w:t>
      </w:r>
    </w:p>
    <w:p>
      <w:pPr>
        <w:spacing w:after="160"/>
      </w:pPr>
      <w:r>
        <w:t xml:space="preserve">For and on behalf of the Sellers</w:t>
      </w:r>
    </w:p>
    <w:p>
      <w:pPr>
        <w:spacing w:after="40"/>
      </w:pPr>
      <w:r>
        <w:rPr>
          <w:b/>
          <w:bCs/>
        </w:rPr>
        <w:t xml:space="preserve">We acknowledge receipt of this Disclosure Letter:</w:t>
      </w:r>
    </w:p>
    <w:p>
      <w:pPr>
        <w:spacing w:after="0"/>
      </w:pPr>
      <w:r>
        <w:t xml:space="preserve">.......................................</w:t>
      </w:r>
    </w:p>
    <w:p>
      <w:pPr>
        <w:spacing w:after="0"/>
      </w:pPr>
      <w:r>
        <w:t xml:space="preserve">For and on behalf of Crestview Ironvale Bidco Limited</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Project Ironvale — Disclosure Letter (Confidential)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80" w:hanging="480"/>
      </w:pPr>
    </w:lvl>
    <w:lvl w:ilvl="1" w15:tentative="1">
      <w:start w:val="1"/>
      <w:numFmt w:val="lowerLetter"/>
      <w:lvlText w:val="(%2)"/>
      <w:lvlJc w:val="left"/>
      <w:pPr>
        <w:ind w:left="960" w:hanging="4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00"/>
      <w:outlineLvl w:val="0"/>
    </w:pPr>
    <w:rPr>
      <w:rFonts w:ascii="Arial" w:cs="Arial" w:eastAsia="Arial" w:hAnsi="Arial"/>
      <w:b/>
      <w:bCs/>
      <w:sz w:val="26"/>
      <w:szCs w:val="26"/>
    </w:rPr>
  </w:style>
  <w:style w:type="paragraph" w:styleId="Heading2">
    <w:name w:val="Heading 2"/>
    <w:basedOn w:val="Normal"/>
    <w:next w:val="Normal"/>
    <w:qFormat/>
    <w:pPr>
      <w:spacing w:after="80" w:before="140"/>
      <w:outlineLvl w:val="1"/>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2026-06-29T13:05:03.972Z</dcterms:created>
  <dcterms:modified xsi:type="dcterms:W3CDTF">2026-06-29T13:05:03.973Z</dcterms:modified>
</cp:coreProperties>
</file>

<file path=docProps/custom.xml><?xml version="1.0" encoding="utf-8"?>
<Properties xmlns="http://schemas.openxmlformats.org/officeDocument/2006/custom-properties" xmlns:vt="http://schemas.openxmlformats.org/officeDocument/2006/docPropsVTypes"/>
</file>