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spacing w:after="0"/>
        <w:jc w:val="right"/>
      </w:pPr>
      <w:r>
        <w:rPr>
          <w:color w:val="555555"/>
          <w:sz w:val="16"/>
          <w:szCs w:val="16"/>
        </w:rPr>
        <w:t xml:space="preserve">22 Bishopsgate, London EC2N 4BQ</w:t>
      </w:r>
    </w:p>
    <w:p>
      <w:pPr>
        <w:pBdr>
          <w:bottom w:val="single" w:color="1F3864" w:sz="6" w:space="4"/>
        </w:pBdr>
        <w:spacing w:after="120"/>
        <w:jc w:val="right"/>
      </w:pPr>
      <w:r>
        <w:rPr>
          <w:color w:val="888888"/>
          <w:sz w:val="14"/>
          <w:szCs w:val="14"/>
        </w:rPr>
        <w:t xml:space="preserve">DX 138760 Cheapside  ·  +44 (0)20 7946 0958  ·  whitfieldcarter.com</w:t>
      </w:r>
    </w:p>
    <w:p>
      <w:pPr>
        <w:spacing w:after="60" w:before="120"/>
        <w:jc w:val="center"/>
      </w:pPr>
      <w:r>
        <w:rPr>
          <w:b/>
          <w:bCs/>
          <w:sz w:val="26"/>
          <w:szCs w:val="26"/>
        </w:rPr>
        <w:t xml:space="preserve">HEADS OF TERMS</w:t>
      </w:r>
    </w:p>
    <w:p>
      <w:pPr>
        <w:spacing w:after="60"/>
        <w:jc w:val="center"/>
      </w:pPr>
      <w:r>
        <w:rPr>
          <w:sz w:val="20"/>
          <w:szCs w:val="20"/>
        </w:rPr>
        <w:t xml:space="preserve">Project Ironvale — Proposed acquisition of Stradbrook Thermal Limited</w:t>
      </w:r>
    </w:p>
    <w:p>
      <w:pPr>
        <w:spacing w:after="200"/>
        <w:jc w:val="center"/>
      </w:pPr>
      <w:r>
        <w:rPr>
          <w:i/>
          <w:iCs/>
          <w:color w:val="555555"/>
          <w:sz w:val="18"/>
          <w:szCs w:val="18"/>
        </w:rPr>
        <w:t xml:space="preserve">Subject to Contract  ·  Without Prejudice  ·  19 September 2025</w:t>
      </w:r>
    </w:p>
    <w:p>
      <w:pPr>
        <w:spacing w:after="120"/>
      </w:pPr>
      <w:r>
        <w:t xml:space="preserve">These heads of terms (the "Heads of Terms") summarise the principal terms on which Crestview Capital LLP ("Crestview") proposes, through a newly-incorporated acquisition vehicle, to acquire the entire issued share capital of Stradbrook Thermal Limited (the "Company"). Save for the paragraphs headed Exclusivity, Costs, Confidentiality and Governing Law (which are intended to be legally binding), these Heads of Terms are not legally binding and are subject to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Term</w:t>
            </w:r>
          </w:p>
        </w:tc>
        <w:tc>
          <w:tcPr>
            <w:tcW w:type="dxa" w:w="7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Summary</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Buyer</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Crestview Ironvale Bidco Limited, a company to be incorporated in England and Wales and wholly owned by funds managed by Crestview Capital LLP (the "Buyer").</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Sellers</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Geoffrey Stradbrook and Helen Stradbrook (the "Founder Sellers") and Camberwell Growth Capital LLP (the "Investor Seller"), together holding 100% of the issued share capital.</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Target</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Stradbrook Thermal Limited (06934217), a designer and manufacturer of industrial heat exchangers and process-cooling equipment based in Northampton.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Structure</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Acquisition of 100% of the issued ordinary shares for cash, on a debt-free / cash-free basis with a normalised working-capital adjustment.</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Enterprise value</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£42,500,000 on a cash-free, debt-free basis, assuming a normalised level of working capital of £3,600,000.</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Headline equity value</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£41,200,000, comprising the enterprise value less estimated net debt of £1,300,000 at completion, subject to completion-accounts adjustment.</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Consideration mechanism</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Locked-box reference date of 31 August 2025 with a no-leakage covenant, OR completion accounts — to be settled in the SPA. Buyer's current preference is a completion-accounts mechanism.</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Deferred / retention</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£2,000,000 of the consideration to be retained in a joint escrow account for 18 months as security for warranty and tax-covenant claims.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Management</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Daniel Stradbrook (Managing Director) to remain employed for a minimum of 24 months on revised service terms; new service agreement to be entered into at completion.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Conditions</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 satisfactory legal, financial and commercial due diligence; (ii) W&amp;I insurance bound; (iii) Buyer funding confirmed; (iv) no material adverse change. The transaction is not notifiable to the CMA.</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Exclusivity</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The Sellers grant the Buyer an exclusivity period of eight (8) weeks from the date of these Heads of Terms (this paragraph being legally binding).</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Target timetable</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Signing of the SPA by 28 November 2025; completion by 12 December 2025.</w:t>
            </w:r>
          </w:p>
        </w:tc>
      </w:tr>
    </w:tbl>
    <w:p>
      <w:pPr>
        <w:pStyle w:val="Heading2"/>
      </w:pPr>
      <w:r>
        <w:t xml:space="preserve">Exclusivity (binding)</w:t>
      </w:r>
    </w:p>
    <w:p>
      <w:pPr>
        <w:spacing w:after="120"/>
      </w:pPr>
      <w:r>
        <w:t xml:space="preserve">In consideration of the Buyer incurring costs in pursuing the Proposed Transaction, the Sellers agree that, for the period of eight weeks from the date of these Heads of Terms (the "Exclusivity Period"), they shall not, and shall procure that the Company and their respective advisers shall not, solicit, encourage, entertain or enter into discussions with any third party in relation to any sale of the Company or any material part of its business or assets.</w:t>
      </w:r>
    </w:p>
    <w:p>
      <w:pPr>
        <w:pStyle w:val="Heading2"/>
      </w:pPr>
      <w:r>
        <w:t xml:space="preserve">Costs, Confidentiality and Governing Law (binding)</w:t>
      </w:r>
    </w:p>
    <w:p>
      <w:pPr>
        <w:spacing w:after="120"/>
      </w:pPr>
      <w:r>
        <w:t xml:space="preserve">Each Party shall bear its own costs. The existence and terms of these Heads of Terms are confidential and subject to the mutual non-disclosure agreement dated 5 September 2025. These Heads of Terms and any dispute arising out of them are governed by English law and subject to the exclusive jurisdiction of the English courts.</w:t>
      </w:r>
    </w:p>
    <w:p>
      <w:pPr>
        <w:spacing w:before="240"/>
      </w:pPr>
      <w:r>
        <w:rPr>
          <w:b/>
          <w:bCs/>
        </w:rPr>
        <w:t xml:space="preserve">Signed for and on behalf of the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200"/>
            </w:pPr>
            <w:r>
              <w:rPr>
                <w:sz w:val="20"/>
                <w:szCs w:val="20"/>
              </w:rPr>
              <w:t xml:space="preserve">For CRESTVIEW CAPITAL LLP</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Daniel Reeve, Investment Director</w:t>
            </w:r>
          </w:p>
        </w:tc>
        <w:tc>
          <w:tcPr>
            <w:tcW w:type="dxa" w:w="4680"/>
            <w:tcBorders>
              <w:top w:val="none"/>
              <w:left w:val="none"/>
              <w:bottom w:val="none"/>
              <w:right w:val="none"/>
            </w:tcBorders>
          </w:tcPr>
          <w:p>
            <w:pPr>
              <w:spacing w:after="200"/>
            </w:pPr>
            <w:r>
              <w:rPr>
                <w:sz w:val="20"/>
                <w:szCs w:val="20"/>
              </w:rPr>
              <w:t xml:space="preserve">For and on behalf of the SELLERS</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Geoffrey Stradbrook</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Project Ironvale — Heads of Terms (Subject to Contract)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850" w:hanging="510"/>
      </w:pPr>
    </w:lvl>
    <w:lvl w:ilvl="2" w15:tentative="1">
      <w:start w:val="1"/>
      <w:numFmt w:val="lowerLetter"/>
      <w:lvlText w:val="(%3)"/>
      <w:lvlJc w:val="left"/>
      <w:pPr>
        <w:ind w:left="1300" w:hanging="450"/>
      </w:pPr>
    </w:lvl>
    <w:lvl w:ilvl="3" w15:tentative="1">
      <w:start w:val="1"/>
      <w:numFmt w:val="lowerRoman"/>
      <w:lvlText w:val="(%4)"/>
      <w:lvlJc w:val="left"/>
      <w:pPr>
        <w:ind w:left="1750" w:hanging="45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2026-06-29T13:01:44.401Z</dcterms:created>
  <dcterms:modified xsi:type="dcterms:W3CDTF">2026-06-29T13:01:44.401Z</dcterms:modified>
</cp:coreProperties>
</file>

<file path=docProps/custom.xml><?xml version="1.0" encoding="utf-8"?>
<Properties xmlns="http://schemas.openxmlformats.org/officeDocument/2006/custom-properties" xmlns:vt="http://schemas.openxmlformats.org/officeDocument/2006/docPropsVTypes"/>
</file>