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spacing w:after="0"/>
      </w:pPr>
      <w:r>
        <w:rPr>
          <w:color w:val="595959"/>
          <w:sz w:val="18"/>
          <w:szCs w:val="18"/>
        </w:rPr>
        <w:t xml:space="preserve">22 Bishopsgate, London EC2N 4BQ</w:t>
      </w:r>
    </w:p>
    <w:p>
      <w:pPr>
        <w:pBdr>
          <w:bottom w:val="single" w:color="1F3864" w:sz="6" w:space="4"/>
        </w:pBdr>
        <w:spacing w:after="200"/>
      </w:pPr>
      <w:r>
        <w:rPr>
          <w:color w:val="595959"/>
          <w:sz w:val="18"/>
          <w:szCs w:val="18"/>
        </w:rPr>
        <w:t xml:space="preserve">T +44 (0)20 7946 0521   whitfieldcarter.com</w:t>
      </w:r>
    </w:p>
    <w:p>
      <w:pPr>
        <w:pStyle w:val="Title"/>
      </w:pPr>
      <w:r>
        <w:t xml:space="preserve">MINUTES OF A MEETING OF THE BOARD OF DIRECTORS</w:t>
      </w:r>
    </w:p>
    <w:p>
      <w:pPr>
        <w:spacing w:after="40"/>
        <w:jc w:val="center"/>
      </w:pPr>
      <w:r>
        <w:rPr>
          <w:b/>
          <w:bCs/>
        </w:rPr>
        <w:t xml:space="preserve">MARRICK BIDCO LIMITED</w:t>
      </w:r>
    </w:p>
    <w:p>
      <w:pPr>
        <w:spacing w:after="200"/>
        <w:jc w:val="center"/>
      </w:pPr>
      <w:r>
        <w:rPr>
          <w:i/>
          <w:iCs/>
        </w:rPr>
        <w:t xml:space="preserve">(registered number 15482290)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Date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24 April 2026</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Time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9.30 a.m.</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Place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By video conference</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Present</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Margaret Holloway (Chair); Daniel Reeve</w:t>
            </w:r>
          </w:p>
        </w:tc>
      </w:tr>
      <w:tr>
        <w:tc>
          <w:tcPr>
            <w:tcW w:type="dxa" w:w="2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In attendance</w:t>
            </w:r>
          </w:p>
        </w:tc>
        <w:tc>
          <w:tcPr>
            <w:tcW w:type="dxa" w:w="6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Priya Anand (Crestview Capital); James Osei (Whitfield Carter LLP)</w:t>
            </w:r>
          </w:p>
        </w:tc>
      </w:tr>
    </w:tbl>
    <w:p>
      <w:pPr>
        <w:pStyle w:val="Heading1"/>
      </w:pPr>
      <w:r>
        <w:t xml:space="preserve">1.  Chair and quorum</w:t>
      </w:r>
    </w:p>
    <w:p>
      <w:pPr>
        <w:spacing w:after="120" w:line="276"/>
      </w:pPr>
      <w:r>
        <w:t xml:space="preserve">Margaret Holloway was appointed chair of the meeting. It was noted that a quorum was present and that the meeting had been duly convened. The chair confirmed that each director had considered the nature and extent of their interests in the matters to be discussed and that, the necessary authorisations having been given, the directors were entitled to count in the quorum and vote.</w:t>
      </w:r>
    </w:p>
    <w:p>
      <w:pPr>
        <w:pStyle w:val="Heading1"/>
      </w:pPr>
      <w:r>
        <w:t xml:space="preserve">2.  Purpose of the meeting</w:t>
      </w:r>
    </w:p>
    <w:p>
      <w:pPr>
        <w:spacing w:after="120" w:line="276"/>
      </w:pPr>
      <w:r>
        <w:t xml:space="preserve">The chair reported that the purpose of the meeting was to approve the acquisition by the Company of the entire issued share capital of Aldermont Controls Limited (the "Acquisition") pursuant to a share purchase agreement (the "SPA") to be entered into between the Company as buyer and the sellers named therein.</w:t>
      </w:r>
    </w:p>
    <w:p>
      <w:pPr>
        <w:pStyle w:val="Heading1"/>
      </w:pPr>
      <w:r>
        <w:t xml:space="preserve">3.  Documents tabled</w:t>
      </w:r>
    </w:p>
    <w:p>
      <w:pPr>
        <w:spacing w:after="120" w:line="276"/>
      </w:pPr>
      <w:r>
        <w:t xml:space="preserve">There were tabled at the meeting: (a) the agreed form of the SPA; (b) the agreed form of the Disclosure Letter; (c) the Funds Flow Statement; (d) the equity and debt funding arrangements provided by Crestview Capital; and (e) the Completion Checklist.</w:t>
      </w:r>
    </w:p>
    <w:p>
      <w:pPr>
        <w:pStyle w:val="Heading1"/>
      </w:pPr>
      <w:r>
        <w:t xml:space="preserve">4.  Consideration of the Acquisition</w:t>
      </w:r>
    </w:p>
    <w:p>
      <w:pPr>
        <w:spacing w:after="120" w:line="276"/>
      </w:pPr>
      <w:r>
        <w:t xml:space="preserve">The board considered the principal terms of the Acquisition, noting an enterprise value of £62,000,000, an estimated equity consideration of £57,700,000 (subject to completion accounts adjustment), and an escrow retention of £5,770,000 representing 10% of the equity consideration. The board was satisfied that the terms were fair and reasonable and in the best interests of the Company.</w:t>
      </w:r>
    </w:p>
    <w:p>
      <w:pPr>
        <w:pStyle w:val="Heading1"/>
      </w:pPr>
      <w:r>
        <w:t xml:space="preserve">5.  Resolutions</w:t>
      </w:r>
    </w:p>
    <w:p>
      <w:pPr>
        <w:spacing w:after="120" w:line="276"/>
      </w:pPr>
      <w:r>
        <w:t xml:space="preserve">IT WAS RESOLVED that:</w:t>
      </w:r>
    </w:p>
    <w:p>
      <w:pPr>
        <w:spacing w:after="100"/>
        <w:ind w:left="720" w:hanging="360"/>
      </w:pPr>
      <w:r>
        <w:t xml:space="preserve">5.1  </w:t>
      </w:r>
      <w:r>
        <w:t xml:space="preserve">the terms of the Acquisition and the SPA be and are approved, and the entry by the Company into the SPA be and is approved;</w:t>
      </w:r>
    </w:p>
    <w:p>
      <w:pPr>
        <w:spacing w:after="100"/>
        <w:ind w:left="720" w:hanging="360"/>
      </w:pPr>
      <w:r>
        <w:t xml:space="preserve">5.2  </w:t>
      </w:r>
      <w:r>
        <w:t xml:space="preserve">the Disclosure Letter, the Funds Flow Statement and the Completion Checklist be and are approved;</w:t>
      </w:r>
    </w:p>
    <w:p>
      <w:pPr>
        <w:spacing w:after="100"/>
        <w:ind w:left="720" w:hanging="360"/>
      </w:pPr>
      <w:r>
        <w:t xml:space="preserve">5.3  </w:t>
      </w:r>
      <w:r>
        <w:t xml:space="preserve">any director be and is authorised to sign the SPA and all ancillary documents on behalf of the Company, and to agree such amendments as they consider appropriate; and</w:t>
      </w:r>
    </w:p>
    <w:p>
      <w:pPr>
        <w:spacing w:after="100"/>
        <w:ind w:left="720" w:hanging="360"/>
      </w:pPr>
      <w:r>
        <w:t xml:space="preserve">5.4  </w:t>
      </w:r>
      <w:r>
        <w:t xml:space="preserve">the steps necessary to complete the Acquisition, including payment of the completion consideration in accordance with the Funds Flow Statement, be and are approved.</w:t>
      </w:r>
    </w:p>
    <w:p>
      <w:pPr>
        <w:pStyle w:val="Heading1"/>
      </w:pPr>
      <w:r>
        <w:t xml:space="preserve">6.  Close</w:t>
      </w:r>
    </w:p>
    <w:p>
      <w:pPr>
        <w:spacing w:after="120" w:line="276"/>
      </w:pPr>
      <w:r>
        <w:t xml:space="preserve">There being no further business, the chair declared the meeting closed.</w:t>
      </w:r>
    </w:p>
    <w:p>
      <w:pPr>
        <w:spacing w:before="400"/>
      </w:pPr>
      <w:r>
        <w:t xml:space="preserve">_______________________________</w:t>
      </w:r>
    </w:p>
    <w:p>
      <w:r>
        <w:rPr>
          <w:b/>
          <w:bCs/>
        </w:rPr>
        <w:t xml:space="preserve">Margaret Holloway — Chair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(registered number OC372145). A list of members is available at the registered office. Authorised and regulated by the Solicitors Regulation Authority.</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2026-06-26T15:45:27.984Z</dcterms:created>
  <dcterms:modified xsi:type="dcterms:W3CDTF">2026-06-26T15:45:27.984Z</dcterms:modified>
</cp:coreProperties>
</file>

<file path=docProps/custom.xml><?xml version="1.0" encoding="utf-8"?>
<Properties xmlns="http://schemas.openxmlformats.org/officeDocument/2006/custom-properties" xmlns:vt="http://schemas.openxmlformats.org/officeDocument/2006/docPropsVTypes"/>
</file>