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0521   whitfieldcarter.com</w:t>
      </w:r>
    </w:p>
    <w:p>
      <w:pPr>
        <w:spacing w:after="40"/>
        <w:jc w:val="right"/>
      </w:pPr>
      <w:r>
        <w:rPr>
          <w:b/>
          <w:bCs/>
          <w:sz w:val="18"/>
          <w:szCs w:val="18"/>
        </w:rPr>
        <w:t xml:space="preserve">STRICTLY PRIVATE &amp; CONFIDENTIAL</w:t>
      </w:r>
    </w:p>
    <w:p>
      <w:pPr>
        <w:spacing w:after="120" w:line="276"/>
      </w:pPr>
      <w:r>
        <w:t xml:space="preserve">22 April 2026</w:t>
      </w:r>
    </w:p>
    <w:p>
      <w:pPr>
        <w:spacing w:after="120" w:line="276"/>
      </w:pPr>
      <w:r>
        <w:t xml:space="preserve">To:  Marrick Bidco Limited</w:t>
      </w:r>
    </w:p>
    <w:p>
      <w:pPr>
        <w:spacing w:after="120" w:line="276"/>
      </w:pPr>
      <w:r>
        <w:t xml:space="preserve">C/O Crestview Capital, 9 Devonshire Square, London EC2M 4YF</w:t>
      </w:r>
    </w:p>
    <w:p>
      <w:pPr>
        <w:spacing w:after="120" w:line="276"/>
      </w:pPr>
      <w:r>
        <w:t xml:space="preserve">Copy:  Whitfield Carter LLP (Buyer's solicitors)</w:t>
      </w:r>
    </w:p>
    <w:p>
      <w:pPr>
        <w:spacing w:after="160" w:before="160"/>
      </w:pPr>
      <w:r>
        <w:t xml:space="preserve">Dear Sirs</w:t>
      </w:r>
    </w:p>
    <w:p>
      <w:pPr>
        <w:spacing w:after="160"/>
      </w:pPr>
      <w:r>
        <w:rPr>
          <w:b/>
          <w:bCs/>
        </w:rPr>
        <w:t xml:space="preserve">Project Tempest — Disclosure Letter relating to the sale of the entire issued share capital of Aldermont Controls Limited</w:t>
      </w:r>
    </w:p>
    <w:p>
      <w:pPr>
        <w:spacing w:after="120" w:line="276"/>
      </w:pPr>
      <w:r>
        <w:t xml:space="preserve">This is the Disclosure Letter referred to in the share purchase agreement of today's date (the "Agreement") between (1) the Sellers and (2) Marrick Bidco Limited relating to the sale and purchase of the entire issued share capital of Aldermont Controls Limited (the "Company"). Words and expressions defined in the Agreement have the same meaning in this letter unless otherwise stated.</w:t>
      </w:r>
    </w:p>
    <w:p>
      <w:pPr>
        <w:pStyle w:val="Heading1"/>
      </w:pPr>
      <w:r>
        <w:t xml:space="preserve">1.  General</w:t>
      </w:r>
    </w:p>
    <w:p>
      <w:pPr>
        <w:spacing w:after="120" w:line="276"/>
      </w:pPr>
      <w:r>
        <w:t xml:space="preserve">The Warranties are given subject to the matters disclosed in this letter and its Schedule (together, the "Disclosures"). The Disclosures qualify all of the Warranties and the Buyer shall not be entitled to claim that any fact, matter or circumstance constitutes a breach of any Warranty to the extent that it is fairly disclosed in the Disclosures.</w:t>
      </w:r>
    </w:p>
    <w:p>
      <w:pPr>
        <w:pStyle w:val="Heading1"/>
      </w:pPr>
      <w:r>
        <w:t xml:space="preserve">2.  General disclosures</w:t>
      </w:r>
    </w:p>
    <w:p>
      <w:pPr>
        <w:spacing w:after="120" w:line="276"/>
      </w:pPr>
      <w:r>
        <w:t xml:space="preserve">The Buyer is deemed to have knowledge of, and the Warranties are qualified by, the following matters: (a) all matters apparent from the searches and enquiries made of public registers, including the Registrar of Companies, the Land Registry and the UK Intellectual Property Office; (b) all matters fairly disclosed in the documents contained in the data room (an index of which is annexed to this letter and initialled by the parties); (c) the Reports prepared by the Buyer's advisers; and (d) all matters provided for or noted in the Accounts and the Management Accounts.</w:t>
      </w:r>
    </w:p>
    <w:p>
      <w:pPr>
        <w:pStyle w:val="Heading1"/>
      </w:pPr>
      <w:r>
        <w:t xml:space="preserve">3.  Specific disclosures</w:t>
      </w:r>
    </w:p>
    <w:p>
      <w:pPr>
        <w:spacing w:after="120" w:line="276"/>
      </w:pPr>
      <w:r>
        <w:t xml:space="preserve">The following specific disclosures are made against the Warranties identified (Warranty numbering follows Schedule 4 to the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No.</w:t>
            </w:r>
          </w:p>
        </w:tc>
        <w:tc>
          <w:tcPr>
            <w:tcW w:type="dxa" w:w="24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Warranty</w:t>
            </w:r>
          </w:p>
        </w:tc>
        <w:tc>
          <w:tcPr>
            <w:tcW w:type="dxa" w:w="606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Disclosure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2.3 (Accounts)</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Accounts include a provision of £180,000 in respect of a disputed retention held by Stratton Energy plc on the Severnside framework contract. The provision reflects the directors' best estimate as at the Accounts Date.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4.2 (Contracts)</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supply agreement with Wexbourne Retail Group Limited dated 1 April 2023 contains a change-of-control provision entitling the counterparty to terminate on 60 days' notice following a change of control of the Company. A waiver letter dated 10 April 2026 is included at document 4.2.7 of the data room.</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3.3</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5.1 (Litigation)</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 former employee, R. Whitcombe, has intimated (but not issued) a claim alleging constructive dismissal. The Company has taken advice and considers the claim to be without merit. Estimated maximum exposure is £45,000.</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6.4 (Intellectual property)</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Two of the Company's UK trade mark registrations (nos. UK00003410992 and UK00003411004) are due for renewal within six months of the date of this letter. Renewal instructions have been given to Hartington IP.</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7.2 (Property)</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lease of the Brunel Works site contains a tenant's break right exercisable on 25 March 2027 and an upward-only rent review on the same date. Replies to CPSE enquiries are at document 7.2.1.</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9.1 (Employees)</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Company operates a discretionary annual bonus scheme. Bonuses of £312,000 in aggregate for the year ending on the Accounts Date were declared but remain unpaid as at the date of this letter and are reflected in the completion accounts.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3.7</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11.3 (Pensions)</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Company operates a group personal pension plan. Employer contributions are up to date save for the month immediately preceding completion, which will be settled in the ordinary course.</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12.1 (Tax)</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Company has an outstanding R&amp;D tax relief claim of £96,400 for the accounting period ended on the Accounts Date, submitted to HMRC and not yet agreed.</w:t>
            </w:r>
          </w:p>
        </w:tc>
      </w:tr>
    </w:tbl>
    <w:p>
      <w:pPr>
        <w:pStyle w:val="Heading1"/>
      </w:pPr>
      <w:r>
        <w:t xml:space="preserve">4.  Acknowledgement</w:t>
      </w:r>
    </w:p>
    <w:p>
      <w:pPr>
        <w:spacing w:after="120" w:line="276"/>
      </w:pPr>
      <w:r>
        <w:t xml:space="preserve">Please acknowledge receipt of this letter and your agreement that the matters disclosed in it qualify the Warranties by signing and returning the enclosed duplicate.</w:t>
      </w:r>
    </w:p>
    <w:p>
      <w:pPr>
        <w:spacing w:before="200"/>
      </w:pPr>
      <w:r>
        <w:t xml:space="preserve">Yours faithfully</w:t>
      </w:r>
    </w:p>
    <w:p>
      <w:pPr>
        <w:spacing w:after="0" w:before="300"/>
      </w:pPr>
      <w:r>
        <w:rPr>
          <w:color w:val="555555"/>
        </w:rPr>
        <w:t xml:space="preserve">_______________________________</w:t>
      </w:r>
    </w:p>
    <w:p>
      <w:pPr>
        <w:spacing w:after="0"/>
      </w:pPr>
      <w:r>
        <w:rPr>
          <w:b/>
          <w:bCs/>
        </w:rPr>
        <w:t xml:space="preserve">For and on behalf of the Sellers</w:t>
      </w:r>
    </w:p>
    <w:p>
      <w:pPr>
        <w:spacing w:after="0"/>
      </w:pPr>
      <w:r>
        <w:t xml:space="preserve">Name: Geoffrey Aldermont</w:t>
      </w:r>
    </w:p>
    <w:p>
      <w:pPr>
        <w:spacing w:after="200"/>
      </w:pPr>
      <w:r>
        <w:t xml:space="preserve">Title: Founder &amp; Chairman</w:t>
      </w:r>
    </w:p>
    <w:p>
      <w:pPr>
        <w:spacing w:after="80" w:before="200"/>
      </w:pPr>
      <w:r>
        <w:rPr>
          <w:i/>
          <w:iCs/>
        </w:rPr>
        <w:t xml:space="preserve">We acknowledge receipt and agree the above:</w:t>
      </w:r>
    </w:p>
    <w:p>
      <w:pPr>
        <w:spacing w:after="0" w:before="300"/>
      </w:pPr>
      <w:r>
        <w:rPr>
          <w:color w:val="555555"/>
        </w:rPr>
        <w:t xml:space="preserve">_______________________________</w:t>
      </w:r>
    </w:p>
    <w:p>
      <w:pPr>
        <w:spacing w:after="0"/>
      </w:pPr>
      <w:r>
        <w:rPr>
          <w:b/>
          <w:bCs/>
        </w:rPr>
        <w:t xml:space="preserve">For and on behalf of Marrick Bidco Limited</w:t>
      </w:r>
    </w:p>
    <w:p>
      <w:pPr>
        <w:spacing w:after="0"/>
      </w:pPr>
      <w:r>
        <w:t xml:space="preserve">Name: Daniel Reeve</w:t>
      </w:r>
    </w:p>
    <w:p>
      <w:pPr>
        <w:spacing w:after="200"/>
      </w:pPr>
      <w:r>
        <w:t xml:space="preserve">Title: Director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2026-06-26T15:45:28.005Z</dcterms:created>
  <dcterms:modified xsi:type="dcterms:W3CDTF">2026-06-26T15:45:28.005Z</dcterms:modified>
</cp:coreProperties>
</file>

<file path=docProps/custom.xml><?xml version="1.0" encoding="utf-8"?>
<Properties xmlns="http://schemas.openxmlformats.org/officeDocument/2006/custom-properties" xmlns:vt="http://schemas.openxmlformats.org/officeDocument/2006/docPropsVTypes"/>
</file>