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0521   whitfieldcarter.com</w:t>
      </w:r>
    </w:p>
    <w:p>
      <w:pPr>
        <w:spacing w:after="40"/>
        <w:jc w:val="right"/>
      </w:pPr>
      <w:r>
        <w:rPr>
          <w:b/>
          <w:bCs/>
          <w:sz w:val="18"/>
          <w:szCs w:val="18"/>
        </w:rPr>
        <w:t xml:space="preserve">LEGALLY PRIVILEGED &amp; CONFIDENTIAL</w:t>
      </w:r>
    </w:p>
    <w:p>
      <w:pPr>
        <w:pStyle w:val="Title"/>
      </w:pPr>
      <w:r>
        <w:t xml:space="preserve">LEGAL DUE DILIGENCE REPORT</w:t>
      </w:r>
    </w:p>
    <w:p>
      <w:pPr>
        <w:spacing w:after="40"/>
        <w:jc w:val="center"/>
      </w:pPr>
      <w:r>
        <w:rPr>
          <w:b/>
          <w:bCs/>
        </w:rPr>
        <w:t xml:space="preserve">PROJECT TEMPEST</w:t>
      </w:r>
    </w:p>
    <w:p>
      <w:pPr>
        <w:spacing w:after="200"/>
        <w:jc w:val="center"/>
      </w:pPr>
      <w:r>
        <w:rPr>
          <w:i/>
          <w:iCs/>
        </w:rPr>
        <w:t xml:space="preserve">Project Tempest — Proposed acquisition of Aldermont Controls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Prepared for</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Crestview Capital / Marrick Bidco Limited</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Prepared by</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Whitfield Carter LLP (Sarah Whitfield, Partner; James Osei, Senior Associate; Elena Marchetti, Associate)</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Date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 April 2026</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Scope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Corporate, commercial, employment, property, IP, litigation and tax (summary)</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Status</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Final - for the Buyer investment committee</w:t>
            </w:r>
          </w:p>
        </w:tc>
      </w:tr>
    </w:tbl>
    <w:p>
      <w:pPr>
        <w:pStyle w:val="Heading1"/>
      </w:pPr>
      <w:r>
        <w:t xml:space="preserve">1.  Executive summary</w:t>
      </w:r>
    </w:p>
    <w:p>
      <w:pPr>
        <w:spacing w:after="120" w:line="276"/>
      </w:pPr>
      <w:r>
        <w:t xml:space="preserve">This report summarises the findings of our legal due diligence on Aldermont Controls Limited (the "Company"), a Cheltenham-based manufacturer of industrial flow-control and process-instrumentation products. Our review was based on the documents made available in the virtual data room up to 25 March 2026 and replies to our enquiries.</w:t>
      </w:r>
    </w:p>
    <w:p>
      <w:pPr>
        <w:spacing w:after="120" w:line="276"/>
      </w:pPr>
      <w:r>
        <w:t xml:space="preserve">Overall, the Company is well-run and we have not identified any issue that should prevent the Buyer from proceeding. We have identified a small number of items requiring specific protection in the SPA or Disclosure Letter, summarised below and addressed in section 9 (Recommendations). The most significant items are: (a) a change-of-control right in the Wexbourne Retail supply agreement; (b) an intimated but unissued employment claim; and (c) an outstanding R&amp;D tax relief claim with HMRC.</w:t>
      </w:r>
    </w:p>
    <w:p>
      <w:pPr>
        <w:pStyle w:val="Heading2"/>
      </w:pPr>
      <w: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Rating</w:t>
            </w:r>
          </w:p>
        </w:tc>
        <w:tc>
          <w:tcPr>
            <w:tcW w:type="dxa" w:w="516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Issue</w:t>
            </w:r>
          </w:p>
        </w:tc>
        <w:tc>
          <w:tcPr>
            <w:tcW w:type="dxa" w:w="30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Mitigation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Amber</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Change-of-control right (Wexbourne Retail supply agreement)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Counterparty waiver obtained pre-completion (CP)</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Amber</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Intimated constructive dismissal claim (R. Whitcombe)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Specific disclosure; conduct-of-claims covenant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Amber</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Outstanding R&amp;D tax claim (£96,400) with HMRC</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Specific indemnity in tax covenant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Green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Title to shares and corporate records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Confirmed; no encumbrances on shares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Green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Property — leasehold Brunel Works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Break right / rent review disclosed; no material concerns</w:t>
            </w:r>
          </w:p>
        </w:tc>
      </w:tr>
    </w:tbl>
    <w:p>
      <w:pPr>
        <w:pStyle w:val="Heading1"/>
      </w:pPr>
      <w:r>
        <w:t xml:space="preserve">2.  Corporate</w:t>
      </w:r>
    </w:p>
    <w:p>
      <w:pPr>
        <w:spacing w:after="120" w:line="276"/>
      </w:pPr>
      <w:r>
        <w:t xml:space="preserve">The Company is a private company limited by shares incorporated in England and Wales (number 04218776). Its issued share capital comprises 1,000,000 ordinary shares of £1 each, all fully paid. Title is held as to 62% by Geoffrey Aldermont, 18% by the Aldermont Family Trust (2009) and 20% by Hartington Equity Partners LLP. We have reviewed the statutory registers, which appear complete and up to date. There are no options, warrants or other rights to subscribe for shares.</w:t>
      </w:r>
    </w:p>
    <w:p>
      <w:pPr>
        <w:spacing w:after="120" w:line="276"/>
      </w:pPr>
      <w:r>
        <w:t xml:space="preserve">There are no shareholders' agreements in force other than the investment agreement with Hartington Equity Partners LLP dated 12 June 2019, which terminates automatically on a sale of 100% of the shares and contains drag-along provisions exercised in connection with this transaction.</w:t>
      </w:r>
    </w:p>
    <w:p>
      <w:pPr>
        <w:pStyle w:val="Heading1"/>
      </w:pPr>
      <w:r>
        <w:t xml:space="preserve">3.  Commercial contracts</w:t>
      </w:r>
    </w:p>
    <w:p>
      <w:pPr>
        <w:spacing w:after="120" w:line="276"/>
      </w:pPr>
      <w:r>
        <w:t xml:space="preserve">The Company's principal customer contracts are framework supply agreements with Stratton Energy plc, Wexbourne Retail Group Limited and Harburn Utilities plc. Of these, only the Wexbourne Retail agreement contains a change-of-control termination right (60 days' notice). We recommend a waiver be obtained as a condition to completion; this has since been actioned (see Disclosure Letter, item 3.2).</w:t>
      </w:r>
    </w:p>
    <w:p>
      <w:pPr>
        <w:spacing w:after="120" w:line="276"/>
      </w:pPr>
      <w:r>
        <w:t xml:space="preserve">Supplier arrangements are spread across a number of vendors with no single-source dependency that we consider material. Standard terms of business apply to most counterparties.</w:t>
      </w:r>
    </w:p>
    <w:p>
      <w:pPr>
        <w:pStyle w:val="Heading1"/>
      </w:pPr>
      <w:r>
        <w:t xml:space="preserve">4.  Employment</w:t>
      </w:r>
    </w:p>
    <w:p>
      <w:pPr>
        <w:spacing w:after="120" w:line="276"/>
      </w:pPr>
      <w:r>
        <w:t xml:space="preserve">The Company employs 214 staff. Contracts are on standard terms and we identified no unusual entitlements other than the discretionary bonus scheme (£312,000 declared but unpaid as at the Accounts Date, reflected in the completion accounts). One former employee (R. Whitcombe) has intimated a constructive dismissal claim; no proceedings have been issued and the Company considers the claim to be without merit (estimated maximum exposure £45,000).</w:t>
      </w:r>
    </w:p>
    <w:p>
      <w:pPr>
        <w:spacing w:after="120" w:line="276"/>
      </w:pPr>
      <w:r>
        <w:t xml:space="preserve">TUPE does not apply to the transaction (a share sale). Senior management, including the Managing Director, are to be retained on new service agreements to be entered into at completion.</w:t>
      </w:r>
    </w:p>
    <w:p>
      <w:pPr>
        <w:pStyle w:val="Heading1"/>
      </w:pPr>
      <w:r>
        <w:t xml:space="preserve">5.  Real property</w:t>
      </w:r>
    </w:p>
    <w:p>
      <w:pPr>
        <w:spacing w:after="120" w:line="276"/>
      </w:pPr>
      <w:r>
        <w:t xml:space="preserve">The Company occupies a single leasehold site, Brunel Works, Tewkesbury Road, Cheltenham, under a lease expiring in 2032 with a tenant's break right and upward-only rent review on 25 March 2027. Replies to CPSE enquiries disclosed no material concerns. There are no freehold interests.</w:t>
      </w:r>
    </w:p>
    <w:p>
      <w:pPr>
        <w:pStyle w:val="Heading1"/>
      </w:pPr>
      <w:r>
        <w:t xml:space="preserve">6.  Intellectual property</w:t>
      </w:r>
    </w:p>
    <w:p>
      <w:pPr>
        <w:spacing w:after="120" w:line="276"/>
      </w:pPr>
      <w:r>
        <w:t xml:space="preserve">The Company owns a portfolio of UK and EU registered trade marks and two granted UK patents relating to its valve actuator technology. Two UK trade mark registrations are due for renewal shortly; renewal instructions have been given. No third-party IP claims are outstanding.</w:t>
      </w:r>
    </w:p>
    <w:p>
      <w:pPr>
        <w:pStyle w:val="Heading1"/>
      </w:pPr>
      <w:r>
        <w:t xml:space="preserve">7.  Litigation and disputes</w:t>
      </w:r>
    </w:p>
    <w:p>
      <w:pPr>
        <w:spacing w:after="120" w:line="276"/>
      </w:pPr>
      <w:r>
        <w:t xml:space="preserve">Other than the intimated employment claim referred to above and a disputed customer retention of £180,000 with Stratton Energy plc (provided for in the Accounts), there is no current or threatened litigation of which we are aware.</w:t>
      </w:r>
    </w:p>
    <w:p>
      <w:pPr>
        <w:pStyle w:val="Heading1"/>
      </w:pPr>
      <w:r>
        <w:t xml:space="preserve">8.  Tax (summary)</w:t>
      </w:r>
    </w:p>
    <w:p>
      <w:pPr>
        <w:spacing w:after="120" w:line="276"/>
      </w:pPr>
      <w:r>
        <w:t xml:space="preserve">We have relied on the financial and tax due diligence prepared by Marlow Tax &amp; Advisory. The principal item for SPA protection is the outstanding R&amp;D tax relief claim of £96,400 submitted to HMRC and not yet agreed, for which we recommend a specific indemnity within the tax covenant.</w:t>
      </w:r>
    </w:p>
    <w:p>
      <w:pPr>
        <w:pStyle w:val="Heading1"/>
      </w:pPr>
      <w:r>
        <w:t xml:space="preserve">9.  Recommendations</w:t>
      </w:r>
    </w:p>
    <w:p>
      <w:pPr>
        <w:spacing w:after="100"/>
        <w:ind w:left="720" w:hanging="360"/>
      </w:pPr>
      <w:r>
        <w:t xml:space="preserve">9.1  </w:t>
      </w:r>
      <w:r>
        <w:t xml:space="preserve">Obtain the Wexbourne Retail change-of-control waiver as a condition to completion (actioned).</w:t>
      </w:r>
    </w:p>
    <w:p>
      <w:pPr>
        <w:spacing w:after="100"/>
        <w:ind w:left="720" w:hanging="360"/>
      </w:pPr>
      <w:r>
        <w:t xml:space="preserve">9.2  </w:t>
      </w:r>
      <w:r>
        <w:t xml:space="preserve">Include a specific disclosure and a conduct-of-claims covenant in respect of the intimated Whitcombe claim.</w:t>
      </w:r>
    </w:p>
    <w:p>
      <w:pPr>
        <w:spacing w:after="100"/>
        <w:ind w:left="720" w:hanging="360"/>
      </w:pPr>
      <w:r>
        <w:t xml:space="preserve">9.3  </w:t>
      </w:r>
      <w:r>
        <w:t xml:space="preserve">Include a specific indemnity in the tax covenant for the outstanding R&amp;D tax relief claim.</w:t>
      </w:r>
    </w:p>
    <w:p>
      <w:pPr>
        <w:spacing w:after="100"/>
        <w:ind w:left="720" w:hanging="360"/>
      </w:pPr>
      <w:r>
        <w:t xml:space="preserve">9.4  </w:t>
      </w:r>
      <w:r>
        <w:t xml:space="preserve">Set the general warranty liability cap at no more than 50% of the consideration, with a £50k de minimis and a £500k basket, and an 18-month general warranty time limit.</w:t>
      </w:r>
    </w:p>
    <w:p>
      <w:pPr>
        <w:spacing w:after="100"/>
        <w:ind w:left="720" w:hanging="360"/>
      </w:pPr>
      <w:r>
        <w:t xml:space="preserve">9.5  </w:t>
      </w:r>
      <w:r>
        <w:t xml:space="preserve">Retain £5,770,000 (10% of consideration) in escrow for 18 months as security for claims.</w:t>
      </w:r>
    </w:p>
    <w:p>
      <w:pPr>
        <w:spacing w:before="200"/>
      </w:pPr>
      <w:r>
        <w:rPr>
          <w:i/>
          <w:iCs/>
          <w:color w:val="595959"/>
          <w:sz w:val="18"/>
          <w:szCs w:val="18"/>
        </w:rPr>
        <w:t xml:space="preserve">This report is addressed to Crestview Capital and Marrick Bidco Limited for the purposes of the Proposed Transaction only and is subject to legal professional privilege. It may not be relied upon by any other person.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(registered number OC372145). A list of members is available at the registered office. Authorised and regulated by the Solicitors Regulation Authority.</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Tempest — Legal DD Report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2026-06-26T15:45:28.055Z</dcterms:created>
  <dcterms:modified xsi:type="dcterms:W3CDTF">2026-06-26T15:45:28.055Z</dcterms:modified>
</cp:coreProperties>
</file>

<file path=docProps/custom.xml><?xml version="1.0" encoding="utf-8"?>
<Properties xmlns="http://schemas.openxmlformats.org/officeDocument/2006/custom-properties" xmlns:vt="http://schemas.openxmlformats.org/officeDocument/2006/docPropsVTypes"/>
</file>