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HEADS OF TERMS</w:t>
      </w:r>
    </w:p>
    <w:p>
      <w:pPr>
        <w:spacing w:after="60"/>
        <w:jc w:val="center"/>
      </w:pPr>
      <w:r>
        <w:rPr>
          <w:b/>
          <w:bCs/>
        </w:rPr>
        <w:t xml:space="preserve">PROJECT TEMPEST</w:t>
      </w:r>
    </w:p>
    <w:p>
      <w:pPr>
        <w:spacing w:after="200"/>
        <w:jc w:val="center"/>
      </w:pPr>
      <w:r>
        <w:rPr>
          <w:i/>
          <w:iCs/>
        </w:rPr>
        <w:t xml:space="preserve">Proposed acquisition of the entire issued share capital of Aldermont Controls Limited</w:t>
      </w:r>
    </w:p>
    <w:p>
      <w:pPr>
        <w:spacing w:after="120" w:line="276"/>
        <w:rPr>
          <w:b/>
          <w:bCs/>
        </w:rPr>
      </w:pPr>
      <w:r>
        <w:rPr>
          <w:b/>
          <w:bCs/>
        </w:rPr>
        <w:t xml:space="preserve">Dated 17 February 2026</w:t>
      </w:r>
    </w:p>
    <w:p>
      <w:pPr>
        <w:spacing w:after="120" w:line="276"/>
      </w:pPr>
      <w:r>
        <w:t xml:space="preserve">These Heads of Terms record the principal terms on which Marrick Bidco Limited (a company to be wholly owned by funds managed or advised by Crestview Capital) (the "Buyer") proposes to acquire the entire issued share capital of Aldermont Controls Limited (the "Company"). Save for paragraphs 9 to 12 (which are intended to be legally binding), these Heads of Terms are not legally binding and are subject to contract.</w:t>
      </w:r>
    </w:p>
    <w:p>
      <w:pPr>
        <w:pStyle w:val="Heading1"/>
      </w:pPr>
      <w:r>
        <w:t xml:space="preserve">Part A — Commercial terms (subject to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1. Buyer</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Marrick Bidco Limited (in formation), an acquisition vehicle wholly owned by Crestview Capital.</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2. Sellers</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Geoffrey Aldermont; the Aldermont Family Trust (2009); and Hartington Equity Partners LLP, together holding 100% of the issued share capital.</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3. Target</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Aldermont Controls Limited (company number 04218776), a manufacturer of industrial flow-control and process-instrumentation products based in Cheltenham.</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4. Structure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Acquisition of 100% of the issued ordinary shares of the Company on a cash-free, debt-free basis with a normalised working-capital adjustment by reference to a target working capital.</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5. Enterprise value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£62,000,000 on a cash-free, debt-free basis.</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6. Equity consideration</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An estimated £57,700,000, being the enterprise value less estimated net debt of £4,300,000 as at completion, subject to the completion accounts adjustment.</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7. Escrow / retention</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 of the equity consideration (£5,770,000) to be held in a joint escrow account for 18 months as security for warranty and indemnity claims.</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8. Consideration at completion</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£51,930,000 payable in cash on completion, with the balance held in escrow as above.</w:t>
            </w:r>
          </w:p>
        </w:tc>
      </w:tr>
    </w:tbl>
    <w:p>
      <w:pPr>
        <w:pStyle w:val="Heading1"/>
      </w:pPr>
      <w:r>
        <w:t xml:space="preserve">Part B — Conditions and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Exclusivity</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Sellers grant the Buyer an exclusivity period of 8 weeks from the date of these Heads of Terms (paragraph 9, binding).</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Due diligence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Buyer will carry out legal, financial and commercial due diligence. The Sellers will procure access to a virtual data room and management.</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Conditions</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Completion conditional on satisfactory due diligence, agreement of the Share Purchase Agreement and Disclosure Letter, and Buyer's investment committee approval. No merger-control clearance is anticipated to be required.</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Management</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Geoffrey Aldermont to step down as Chairman on completion. The Managing Director and senior team to be retained on existing terms; new service agreements to be agreed.</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Warranties</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Customary warranties and a tax covenant, with a disclosure letter. Liability caps and time limits to be agreed in the Share Purchase Agreement.</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Target timetable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Exchange targeted for 22 April 2026 and completion for 24 April 2026, with a longstop date of 30 June 2026.</w:t>
            </w:r>
          </w:p>
        </w:tc>
      </w:tr>
    </w:tbl>
    <w:p>
      <w:pPr>
        <w:pStyle w:val="Heading1"/>
      </w:pPr>
      <w:r>
        <w:t xml:space="preserve">Part C — Binding provisions</w:t>
      </w:r>
    </w:p>
    <w:p>
      <w:pPr>
        <w:spacing w:after="80" w:before="200"/>
      </w:pPr>
      <w:r>
        <w:rPr>
          <w:b/>
          <w:bCs/>
        </w:rPr>
        <w:t xml:space="preserve">9. </w:t>
      </w:r>
      <w:r>
        <w:rPr>
          <w:b/>
          <w:bCs/>
        </w:rPr>
        <w:t xml:space="preserve">Exclusivity</w:t>
      </w:r>
    </w:p>
    <w:p>
      <w:pPr>
        <w:spacing w:after="100" w:line="276"/>
        <w:ind w:left="360"/>
      </w:pPr>
      <w:r>
        <w:t xml:space="preserve">For a period of 8 weeks from the date of these Heads of Terms (the "Exclusivity Period"), the Sellers shall not, and shall procure that the Company and their respective advisers shall not, directly or indirectly solicit, initiate, encourage or enter into any discussions with any third party in relation to the sale of the Company or any material part of its business or assets.</w:t>
      </w:r>
    </w:p>
    <w:p>
      <w:pPr>
        <w:spacing w:after="80" w:before="200"/>
      </w:pPr>
      <w:r>
        <w:rPr>
          <w:b/>
          <w:bCs/>
        </w:rPr>
        <w:t xml:space="preserve">10. </w:t>
      </w:r>
      <w:r>
        <w:rPr>
          <w:b/>
          <w:bCs/>
        </w:rPr>
        <w:t xml:space="preserve">Costs</w:t>
      </w:r>
    </w:p>
    <w:p>
      <w:pPr>
        <w:spacing w:after="100" w:line="276"/>
        <w:ind w:left="360"/>
      </w:pPr>
      <w:r>
        <w:t xml:space="preserve">Each party shall bear its own costs in connection with the Proposed Transaction, whether or not it proceeds to completion.</w:t>
      </w:r>
    </w:p>
    <w:p>
      <w:pPr>
        <w:spacing w:after="80" w:before="200"/>
      </w:pPr>
      <w:r>
        <w:rPr>
          <w:b/>
          <w:bCs/>
        </w:rPr>
        <w:t xml:space="preserve">11. </w:t>
      </w:r>
      <w:r>
        <w:rPr>
          <w:b/>
          <w:bCs/>
        </w:rPr>
        <w:t xml:space="preserve">Confidentiality</w:t>
      </w:r>
    </w:p>
    <w:p>
      <w:pPr>
        <w:spacing w:after="100" w:line="276"/>
        <w:ind w:left="360"/>
      </w:pPr>
      <w:r>
        <w:t xml:space="preserve">The parties shall keep the existence and terms of these Heads of Terms and the Proposed Transaction confidential in accordance with the confidentiality agreement dated 3 February 2026.</w:t>
      </w:r>
    </w:p>
    <w:p>
      <w:pPr>
        <w:spacing w:after="80" w:before="200"/>
      </w:pPr>
      <w:r>
        <w:rPr>
          <w:b/>
          <w:bCs/>
        </w:rPr>
        <w:t xml:space="preserve">12. </w:t>
      </w:r>
      <w:r>
        <w:rPr>
          <w:b/>
          <w:bCs/>
        </w:rPr>
        <w:t xml:space="preserve">Governing law</w:t>
      </w:r>
    </w:p>
    <w:p>
      <w:pPr>
        <w:spacing w:after="100" w:line="276"/>
        <w:ind w:left="360"/>
      </w:pPr>
      <w:r>
        <w:t xml:space="preserve">Paragraphs 9 to 12 and any non-contractual obligations arising out of them are governed by English law and subject to the exclusive jurisdiction of the English courts.</w:t>
      </w:r>
    </w:p>
    <w:p>
      <w:pPr>
        <w:spacing w:before="240"/>
      </w:pPr>
      <w:r>
        <w:rPr>
          <w:i/>
          <w:iCs/>
        </w:rPr>
        <w:t xml:space="preserve">Acknowledged and agreed (subject to contract save as stated):</w:t>
      </w:r>
    </w:p>
    <w:p>
      <w:pPr>
        <w:spacing w:after="0" w:before="300"/>
      </w:pPr>
      <w:r>
        <w:rPr>
          <w:color w:val="555555"/>
        </w:rPr>
        <w:t xml:space="preserve">_______________________________</w:t>
      </w:r>
    </w:p>
    <w:p>
      <w:pPr>
        <w:spacing w:after="0"/>
      </w:pPr>
      <w:r>
        <w:rPr>
          <w:b/>
          <w:bCs/>
        </w:rPr>
        <w:t xml:space="preserve">For and on behalf of the Buyer</w:t>
      </w:r>
    </w:p>
    <w:p>
      <w:pPr>
        <w:spacing w:after="0"/>
      </w:pPr>
      <w:r>
        <w:t xml:space="preserve">Name: Margaret Holloway</w:t>
      </w:r>
    </w:p>
    <w:p>
      <w:pPr>
        <w:spacing w:after="200"/>
      </w:pPr>
      <w:r>
        <w:t xml:space="preserve">Title: Managing Director, Crestview Capital</w:t>
      </w:r>
    </w:p>
    <w:p>
      <w:pPr>
        <w:spacing w:after="0" w:before="300"/>
      </w:pPr>
      <w:r>
        <w:rPr>
          <w:color w:val="555555"/>
        </w:rPr>
        <w:t xml:space="preserve">_______________________________</w:t>
      </w:r>
    </w:p>
    <w:p>
      <w:pPr>
        <w:spacing w:after="0"/>
      </w:pPr>
      <w:r>
        <w:rPr>
          <w:b/>
          <w:bCs/>
        </w:rPr>
        <w:t xml:space="preserve">For and on behalf of the Sellers</w:t>
      </w:r>
    </w:p>
    <w:p>
      <w:pPr>
        <w:spacing w:after="0"/>
      </w:pPr>
      <w:r>
        <w:t xml:space="preserve">Name: Geoffrey Aldermont</w:t>
      </w:r>
    </w:p>
    <w:p>
      <w:pPr>
        <w:spacing w:after="200"/>
      </w:pPr>
      <w:r>
        <w:t xml:space="preserve">Title: Founder &amp; Chairman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(registered number OC372145). A list of members is available at the registered office. Authorised and regulated by the Solicitors Regulation Authority.</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Tempest — Heads of Terms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2026-06-26T15:45:27.958Z</dcterms:created>
  <dcterms:modified xsi:type="dcterms:W3CDTF">2026-06-26T15:45:27.958Z</dcterms:modified>
</cp:coreProperties>
</file>

<file path=docProps/custom.xml><?xml version="1.0" encoding="utf-8"?>
<Properties xmlns="http://schemas.openxmlformats.org/officeDocument/2006/custom-properties" xmlns:vt="http://schemas.openxmlformats.org/officeDocument/2006/docPropsVTypes"/>
</file>