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rPr>
          <w:b/>
          <w:bCs/>
          <w:sz w:val="24"/>
          <w:szCs w:val="24"/>
        </w:rPr>
      </w:pPr>
      <w:r>
        <w:rPr>
          <w:b/>
          <w:bCs/>
          <w:sz w:val="24"/>
          <w:szCs w:val="24"/>
        </w:rPr>
        <w:t xml:space="preserve">CPSE.1 (version 3.8)</w:t>
      </w:r>
    </w:p>
    <w:p>
      <w:pPr>
        <w:spacing w:after="100"/>
        <w:jc w:val="center"/>
        <w:rPr>
          <w:i/>
          <w:iCs/>
        </w:rPr>
      </w:pPr>
      <w:r>
        <w:rPr>
          <w:i/>
          <w:iCs/>
        </w:rPr>
        <w:t xml:space="preserve">General pre-contract enquiries for all commercial property transactions</w:t>
      </w:r>
    </w:p>
    <w:p>
      <w:pPr>
        <w:spacing w:after="100"/>
        <w:jc w:val="center"/>
      </w:pPr>
      <w:r>
        <w:t xml:space="preserve">Property: Calderdale House, 14–18 Sefton Street, Manchester M3 4AP</w:t>
      </w:r>
    </w:p>
    <w:p>
      <w:pPr>
        <w:spacing w:after="100"/>
        <w:jc w:val="center"/>
        <w:rPr>
          <w:sz w:val="18"/>
          <w:szCs w:val="18"/>
        </w:rPr>
      </w:pPr>
      <w:r>
        <w:rPr>
          <w:sz w:val="18"/>
          <w:szCs w:val="18"/>
        </w:rPr>
        <w:t xml:space="preserve">Seller: Westmere Property Trust Limited   |   Seller’s solicitors: Pemberton Rowe LLP (ref AW/NI/2274)</w:t>
      </w:r>
    </w:p>
    <w:p>
      <w:pPr>
        <w:spacing w:after="100"/>
        <w:jc w:val="center"/>
        <w:rPr>
          <w:sz w:val="18"/>
          <w:szCs w:val="18"/>
        </w:rPr>
      </w:pPr>
      <w:r>
        <w:rPr>
          <w:sz w:val="18"/>
          <w:szCs w:val="18"/>
        </w:rPr>
        <w:t xml:space="preserve">Date of replies: 11 February 2025</w:t>
      </w:r>
    </w:p>
    <w:p>
      <w:pPr>
        <w:spacing w:after="100"/>
        <w:rPr>
          <w:i/>
          <w:iCs/>
          <w:sz w:val="18"/>
          <w:szCs w:val="18"/>
        </w:rPr>
      </w:pPr>
      <w:r>
        <w:rPr>
          <w:i/>
          <w:iCs/>
          <w:sz w:val="18"/>
          <w:szCs w:val="18"/>
        </w:rPr>
        <w:t xml:space="preserve">These replies are given by the Seller subject to the printed terms and definitions of CPSE.1. The Seller has taken reasonable steps to ensure that the replies are accurate.</w:t>
      </w:r>
    </w:p>
    <w:p>
      <w:pPr>
        <w:pStyle w:val="Heading2"/>
      </w:pPr>
      <w:r>
        <w:t xml:space="preserve">1.  Boundaries and extent</w:t>
      </w:r>
    </w:p>
    <w:p>
      <w:pPr>
        <w:spacing w:after="30" w:before="100"/>
      </w:pPr>
      <w:r>
        <w:rPr>
          <w:b/>
          <w:bCs/>
          <w:sz w:val="20"/>
          <w:szCs w:val="20"/>
        </w:rPr>
        <w:t xml:space="preserve">1.1  Please confirm the boundaries are as shown on the title plan.</w:t>
      </w:r>
    </w:p>
    <w:p>
      <w:pPr>
        <w:spacing w:after="60"/>
        <w:ind w:left="360"/>
      </w:pPr>
      <w:r>
        <w:rPr>
          <w:b/>
          <w:bCs/>
          <w:i/>
          <w:iCs/>
          <w:sz w:val="20"/>
          <w:szCs w:val="20"/>
        </w:rPr>
        <w:t xml:space="preserve">Reply:  </w:t>
      </w:r>
      <w:r>
        <w:rPr>
          <w:sz w:val="20"/>
          <w:szCs w:val="20"/>
        </w:rPr>
        <w:t xml:space="preserve">The Seller believes the boundaries to be as shown on the title plan registered under title number GM428193 but gives no warranty as to their precise location. The Seller is not aware of any boundary dispute.</w:t>
      </w:r>
    </w:p>
    <w:p>
      <w:pPr>
        <w:spacing w:after="30" w:before="100"/>
      </w:pPr>
      <w:r>
        <w:rPr>
          <w:b/>
          <w:bCs/>
          <w:sz w:val="20"/>
          <w:szCs w:val="20"/>
        </w:rPr>
        <w:t xml:space="preserve">1.2  Is the Seller aware of any encroachment over the Property or by the Property over adjoining land?</w:t>
      </w:r>
    </w:p>
    <w:p>
      <w:pPr>
        <w:spacing w:after="60"/>
        <w:ind w:left="360"/>
      </w:pPr>
      <w:r>
        <w:rPr>
          <w:b/>
          <w:bCs/>
          <w:i/>
          <w:iCs/>
          <w:sz w:val="20"/>
          <w:szCs w:val="20"/>
        </w:rPr>
        <w:t xml:space="preserve">Reply:  </w:t>
      </w:r>
      <w:r>
        <w:rPr>
          <w:sz w:val="20"/>
          <w:szCs w:val="20"/>
        </w:rPr>
        <w:t xml:space="preserve">Save for the rights of support and passage of services under the deed of easement dated 3 May 1999 referred to in the contract, the Seller is not aware of any encroachment.</w:t>
      </w:r>
    </w:p>
    <w:p>
      <w:pPr>
        <w:pStyle w:val="Heading2"/>
      </w:pPr>
      <w:r>
        <w:t xml:space="preserve">2.  Rights benefiting and burdening the Property</w:t>
      </w:r>
    </w:p>
    <w:p>
      <w:pPr>
        <w:spacing w:after="30" w:before="100"/>
      </w:pPr>
      <w:r>
        <w:rPr>
          <w:b/>
          <w:bCs/>
          <w:sz w:val="20"/>
          <w:szCs w:val="20"/>
        </w:rPr>
        <w:t xml:space="preserve">2.1  Please give details of all rights enjoyed by the Property over neighbouring land.</w:t>
      </w:r>
    </w:p>
    <w:p>
      <w:pPr>
        <w:spacing w:after="60"/>
        <w:ind w:left="360"/>
      </w:pPr>
      <w:r>
        <w:rPr>
          <w:b/>
          <w:bCs/>
          <w:i/>
          <w:iCs/>
          <w:sz w:val="20"/>
          <w:szCs w:val="20"/>
        </w:rPr>
        <w:t xml:space="preserve">Reply:  </w:t>
      </w:r>
      <w:r>
        <w:rPr>
          <w:sz w:val="20"/>
          <w:szCs w:val="20"/>
        </w:rPr>
        <w:t xml:space="preserve">The Property enjoys rights of support, shelter and the passage and running of services through the adjoining property under the deed of easement dated 3 May 1999, a copy of which has been supplied.</w:t>
      </w:r>
    </w:p>
    <w:p>
      <w:pPr>
        <w:spacing w:after="30" w:before="100"/>
      </w:pPr>
      <w:r>
        <w:rPr>
          <w:b/>
          <w:bCs/>
          <w:sz w:val="20"/>
          <w:szCs w:val="20"/>
        </w:rPr>
        <w:t xml:space="preserve">2.2  Are there any rights to which the Property is subject?</w:t>
      </w:r>
    </w:p>
    <w:p>
      <w:pPr>
        <w:spacing w:after="60"/>
        <w:ind w:left="360"/>
      </w:pPr>
      <w:r>
        <w:rPr>
          <w:b/>
          <w:bCs/>
          <w:i/>
          <w:iCs/>
          <w:sz w:val="20"/>
          <w:szCs w:val="20"/>
        </w:rPr>
        <w:t xml:space="preserve">Reply:  </w:t>
      </w:r>
      <w:r>
        <w:rPr>
          <w:sz w:val="20"/>
          <w:szCs w:val="20"/>
        </w:rPr>
        <w:t xml:space="preserve">Yes — the matters referred to in the charges register of title number GM428193 and the rights granted to the tenants under the occupational Leases.</w:t>
      </w:r>
    </w:p>
    <w:p>
      <w:pPr>
        <w:pStyle w:val="Heading2"/>
      </w:pPr>
      <w:r>
        <w:t xml:space="preserve">3.  Services</w:t>
      </w:r>
    </w:p>
    <w:p>
      <w:pPr>
        <w:spacing w:after="30" w:before="100"/>
      </w:pPr>
      <w:r>
        <w:rPr>
          <w:b/>
          <w:bCs/>
          <w:sz w:val="20"/>
          <w:szCs w:val="20"/>
        </w:rPr>
        <w:t xml:space="preserve">3.1  Please confirm the Property is connected to mains water, drainage, electricity and gas.</w:t>
      </w:r>
    </w:p>
    <w:p>
      <w:pPr>
        <w:spacing w:after="60"/>
        <w:ind w:left="360"/>
      </w:pPr>
      <w:r>
        <w:rPr>
          <w:b/>
          <w:bCs/>
          <w:i/>
          <w:iCs/>
          <w:sz w:val="20"/>
          <w:szCs w:val="20"/>
        </w:rPr>
        <w:t xml:space="preserve">Reply:  </w:t>
      </w:r>
      <w:r>
        <w:rPr>
          <w:sz w:val="20"/>
          <w:szCs w:val="20"/>
        </w:rPr>
        <w:t xml:space="preserve">The Property is connected to mains water, foul and surface water drainage, electricity and gas. The Seller is not aware of any problem with the supply of any service.</w:t>
      </w:r>
    </w:p>
    <w:p>
      <w:pPr>
        <w:spacing w:after="30" w:before="100"/>
      </w:pPr>
      <w:r>
        <w:rPr>
          <w:b/>
          <w:bCs/>
          <w:sz w:val="20"/>
          <w:szCs w:val="20"/>
        </w:rPr>
        <w:t xml:space="preserve">3.2  Are any of the services shared with adjoining property?</w:t>
      </w:r>
    </w:p>
    <w:p>
      <w:pPr>
        <w:spacing w:after="60"/>
        <w:ind w:left="360"/>
      </w:pPr>
      <w:r>
        <w:rPr>
          <w:b/>
          <w:bCs/>
          <w:i/>
          <w:iCs/>
          <w:sz w:val="20"/>
          <w:szCs w:val="20"/>
        </w:rPr>
        <w:t xml:space="preserve">Reply:  </w:t>
      </w:r>
      <w:r>
        <w:rPr>
          <w:sz w:val="20"/>
          <w:szCs w:val="20"/>
        </w:rPr>
        <w:t xml:space="preserve">Surface water drainage from the lower-ground car park discharges via a shared connection serving 12 Sefton Street, as referred to in the 1999 deed of easement.</w:t>
      </w:r>
    </w:p>
    <w:p>
      <w:pPr>
        <w:pStyle w:val="Heading2"/>
      </w:pPr>
      <w:r>
        <w:t xml:space="preserve">4.  Occupiers and employees</w:t>
      </w:r>
    </w:p>
    <w:p>
      <w:pPr>
        <w:spacing w:after="30" w:before="100"/>
      </w:pPr>
      <w:r>
        <w:rPr>
          <w:b/>
          <w:bCs/>
          <w:sz w:val="20"/>
          <w:szCs w:val="20"/>
        </w:rPr>
        <w:t xml:space="preserve">4.1  Please give details of all occupiers of the Property.</w:t>
      </w:r>
    </w:p>
    <w:p>
      <w:pPr>
        <w:spacing w:after="60"/>
        <w:ind w:left="360"/>
      </w:pPr>
      <w:r>
        <w:rPr>
          <w:b/>
          <w:bCs/>
          <w:i/>
          <w:iCs/>
          <w:sz w:val="20"/>
          <w:szCs w:val="20"/>
        </w:rPr>
        <w:t xml:space="preserve">Reply:  </w:t>
      </w:r>
      <w:r>
        <w:rPr>
          <w:sz w:val="20"/>
          <w:szCs w:val="20"/>
        </w:rPr>
        <w:t xml:space="preserve">The Property is let in three parts to Harlow Reed Consulting LLP (2nd and 3rd floors), Northbank Insurance Services Limited (1st floor) and Castleford Media Limited (ground floor and part lower-ground), under the Leases summarised in the contract. There are no other occupiers.</w:t>
      </w:r>
    </w:p>
    <w:p>
      <w:pPr>
        <w:spacing w:after="30" w:before="100"/>
      </w:pPr>
      <w:r>
        <w:rPr>
          <w:b/>
          <w:bCs/>
          <w:sz w:val="20"/>
          <w:szCs w:val="20"/>
        </w:rPr>
        <w:t xml:space="preserve">4.2  Are there any persons in occupation otherwise than under the Leases disclosed?</w:t>
      </w:r>
    </w:p>
    <w:p>
      <w:pPr>
        <w:spacing w:after="60"/>
        <w:ind w:left="360"/>
      </w:pPr>
      <w:r>
        <w:rPr>
          <w:b/>
          <w:bCs/>
          <w:i/>
          <w:iCs/>
          <w:sz w:val="20"/>
          <w:szCs w:val="20"/>
        </w:rPr>
        <w:t xml:space="preserve">Reply:  </w:t>
      </w:r>
      <w:r>
        <w:rPr>
          <w:sz w:val="20"/>
          <w:szCs w:val="20"/>
        </w:rPr>
        <w:t xml:space="preserve">No.</w:t>
      </w:r>
    </w:p>
    <w:p>
      <w:pPr>
        <w:pStyle w:val="Heading2"/>
      </w:pPr>
      <w:r>
        <w:t xml:space="preserve">5.  The lettings</w:t>
      </w:r>
    </w:p>
    <w:p>
      <w:pPr>
        <w:spacing w:after="30" w:before="100"/>
      </w:pPr>
      <w:r>
        <w:rPr>
          <w:b/>
          <w:bCs/>
          <w:sz w:val="20"/>
          <w:szCs w:val="20"/>
        </w:rPr>
        <w:t xml:space="preserve">5.1  Please confirm the current passing rent under each Lease.</w:t>
      </w:r>
    </w:p>
    <w:p>
      <w:pPr>
        <w:spacing w:after="60"/>
        <w:ind w:left="360"/>
      </w:pPr>
      <w:r>
        <w:rPr>
          <w:b/>
          <w:bCs/>
          <w:i/>
          <w:iCs/>
          <w:sz w:val="20"/>
          <w:szCs w:val="20"/>
        </w:rPr>
        <w:t xml:space="preserve">Reply:  </w:t>
      </w:r>
      <w:r>
        <w:rPr>
          <w:sz w:val="20"/>
          <w:szCs w:val="20"/>
        </w:rPr>
        <w:t xml:space="preserve">Harlow Reed Consulting LLP — £286,000 p.a.; Northbank Insurance Services Limited — £198,500 p.a.; Castleford Media Limited — £117,000 p.a. Aggregate £601,500 p.a.</w:t>
      </w:r>
    </w:p>
    <w:p>
      <w:pPr>
        <w:spacing w:after="30" w:before="100"/>
      </w:pPr>
      <w:r>
        <w:rPr>
          <w:b/>
          <w:bCs/>
          <w:sz w:val="20"/>
          <w:szCs w:val="20"/>
        </w:rPr>
        <w:t xml:space="preserve">5.2  Are there any rent or service charge arrears?</w:t>
      </w:r>
    </w:p>
    <w:p>
      <w:pPr>
        <w:spacing w:after="60"/>
        <w:ind w:left="360"/>
      </w:pPr>
      <w:r>
        <w:rPr>
          <w:b/>
          <w:bCs/>
          <w:i/>
          <w:iCs/>
          <w:sz w:val="20"/>
          <w:szCs w:val="20"/>
        </w:rPr>
        <w:t xml:space="preserve">Reply:  </w:t>
      </w:r>
      <w:r>
        <w:rPr>
          <w:sz w:val="20"/>
          <w:szCs w:val="20"/>
        </w:rPr>
        <w:t xml:space="preserve">No. All rent and service charge demanded to the March 2025 quarter has been paid.</w:t>
      </w:r>
    </w:p>
    <w:p>
      <w:pPr>
        <w:spacing w:after="30" w:before="100"/>
      </w:pPr>
      <w:r>
        <w:rPr>
          <w:b/>
          <w:bCs/>
          <w:sz w:val="20"/>
          <w:szCs w:val="20"/>
        </w:rPr>
        <w:t xml:space="preserve">5.3  Are there any rent reviews outstanding or in progress?</w:t>
      </w:r>
    </w:p>
    <w:p>
      <w:pPr>
        <w:spacing w:after="60"/>
        <w:ind w:left="360"/>
      </w:pPr>
      <w:r>
        <w:rPr>
          <w:b/>
          <w:bCs/>
          <w:i/>
          <w:iCs/>
          <w:sz w:val="20"/>
          <w:szCs w:val="20"/>
        </w:rPr>
        <w:t xml:space="preserve">Reply:  </w:t>
      </w:r>
      <w:r>
        <w:rPr>
          <w:sz w:val="20"/>
          <w:szCs w:val="20"/>
        </w:rPr>
        <w:t xml:space="preserve">The Harlow Reed rent review with effect from 25 March 2024 was settled at £286,000 p.a. by memorandum dated 9 August 2024. The Northbank review effective 29 September 2025 has not yet been triggered.</w:t>
      </w:r>
    </w:p>
    <w:p>
      <w:pPr>
        <w:spacing w:after="30" w:before="100"/>
      </w:pPr>
      <w:r>
        <w:rPr>
          <w:b/>
          <w:bCs/>
          <w:sz w:val="20"/>
          <w:szCs w:val="20"/>
        </w:rPr>
        <w:t xml:space="preserve">5.4  Please give details of any rent deposits held.</w:t>
      </w:r>
    </w:p>
    <w:p>
      <w:pPr>
        <w:spacing w:after="60"/>
        <w:ind w:left="360"/>
      </w:pPr>
      <w:r>
        <w:rPr>
          <w:b/>
          <w:bCs/>
          <w:i/>
          <w:iCs/>
          <w:sz w:val="20"/>
          <w:szCs w:val="20"/>
        </w:rPr>
        <w:t xml:space="preserve">Reply:  </w:t>
      </w:r>
      <w:r>
        <w:rPr>
          <w:sz w:val="20"/>
          <w:szCs w:val="20"/>
        </w:rPr>
        <w:t xml:space="preserve">A rent deposit of £29,250 is held in respect of Castleford Media Limited under a rent deposit deed dated 24 June 2022. No other deposits are held.</w:t>
      </w:r>
    </w:p>
    <w:p>
      <w:pPr>
        <w:pStyle w:val="Heading2"/>
      </w:pPr>
      <w:r>
        <w:t xml:space="preserve">6.  Outgoings and capital expenditure</w:t>
      </w:r>
    </w:p>
    <w:p>
      <w:pPr>
        <w:spacing w:after="30" w:before="100"/>
      </w:pPr>
      <w:r>
        <w:rPr>
          <w:b/>
          <w:bCs/>
          <w:sz w:val="20"/>
          <w:szCs w:val="20"/>
        </w:rPr>
        <w:t xml:space="preserve">6.1  What is the current service charge budget for the Property?</w:t>
      </w:r>
    </w:p>
    <w:p>
      <w:pPr>
        <w:spacing w:after="60"/>
        <w:ind w:left="360"/>
      </w:pPr>
      <w:r>
        <w:rPr>
          <w:b/>
          <w:bCs/>
          <w:i/>
          <w:iCs/>
          <w:sz w:val="20"/>
          <w:szCs w:val="20"/>
        </w:rPr>
        <w:t xml:space="preserve">Reply:  </w:t>
      </w:r>
      <w:r>
        <w:rPr>
          <w:sz w:val="20"/>
          <w:szCs w:val="20"/>
        </w:rPr>
        <w:t xml:space="preserve">The service charge budget for the year ending 24 December 2025 is £148,200, recovered in full from the tenants under the Leases.</w:t>
      </w:r>
    </w:p>
    <w:p>
      <w:pPr>
        <w:spacing w:after="30" w:before="100"/>
      </w:pPr>
      <w:r>
        <w:rPr>
          <w:b/>
          <w:bCs/>
          <w:sz w:val="20"/>
          <w:szCs w:val="20"/>
        </w:rPr>
        <w:t xml:space="preserve">6.2  Is the Seller aware of any anticipated major expenditure?</w:t>
      </w:r>
    </w:p>
    <w:p>
      <w:pPr>
        <w:spacing w:after="60"/>
        <w:ind w:left="360"/>
      </w:pPr>
      <w:r>
        <w:rPr>
          <w:b/>
          <w:bCs/>
          <w:i/>
          <w:iCs/>
          <w:sz w:val="20"/>
          <w:szCs w:val="20"/>
        </w:rPr>
        <w:t xml:space="preserve">Reply:  </w:t>
      </w:r>
      <w:r>
        <w:rPr>
          <w:sz w:val="20"/>
          <w:szCs w:val="20"/>
        </w:rPr>
        <w:t xml:space="preserve">The lift serving the building is due for a scheduled overhaul estimated at £24,000, programmed for autumn 2025 and recoverable through the service charge.</w:t>
      </w:r>
    </w:p>
    <w:p>
      <w:pPr>
        <w:pStyle w:val="Heading2"/>
      </w:pPr>
      <w:r>
        <w:t xml:space="preserve">7.  Notices</w:t>
      </w:r>
    </w:p>
    <w:p>
      <w:pPr>
        <w:spacing w:after="30" w:before="100"/>
      </w:pPr>
      <w:r>
        <w:rPr>
          <w:b/>
          <w:bCs/>
          <w:sz w:val="20"/>
          <w:szCs w:val="20"/>
        </w:rPr>
        <w:t xml:space="preserve">7.1  Please give details of any notices affecting the Property.</w:t>
      </w:r>
    </w:p>
    <w:p>
      <w:pPr>
        <w:spacing w:after="60"/>
        <w:ind w:left="360"/>
      </w:pPr>
      <w:r>
        <w:rPr>
          <w:b/>
          <w:bCs/>
          <w:i/>
          <w:iCs/>
          <w:sz w:val="20"/>
          <w:szCs w:val="20"/>
        </w:rPr>
        <w:t xml:space="preserve">Reply:  </w:t>
      </w:r>
      <w:r>
        <w:rPr>
          <w:sz w:val="20"/>
          <w:szCs w:val="20"/>
        </w:rPr>
        <w:t xml:space="preserve">Save for routine statutory notices in the ordinary course, the Seller has not given or received any notice materially affecting the Property.</w:t>
      </w:r>
    </w:p>
    <w:p>
      <w:pPr>
        <w:pStyle w:val="Heading2"/>
      </w:pPr>
      <w:r>
        <w:t xml:space="preserve">8.  Disputes</w:t>
      </w:r>
    </w:p>
    <w:p>
      <w:pPr>
        <w:spacing w:after="30" w:before="100"/>
      </w:pPr>
      <w:r>
        <w:rPr>
          <w:b/>
          <w:bCs/>
          <w:sz w:val="20"/>
          <w:szCs w:val="20"/>
        </w:rPr>
        <w:t xml:space="preserve">8.1  Is the Seller aware of any disputes relating to the Property?</w:t>
      </w:r>
    </w:p>
    <w:p>
      <w:pPr>
        <w:spacing w:after="60"/>
        <w:ind w:left="360"/>
      </w:pPr>
      <w:r>
        <w:rPr>
          <w:b/>
          <w:bCs/>
          <w:i/>
          <w:iCs/>
          <w:sz w:val="20"/>
          <w:szCs w:val="20"/>
        </w:rPr>
        <w:t xml:space="preserve">Reply:  </w:t>
      </w:r>
      <w:r>
        <w:rPr>
          <w:sz w:val="20"/>
          <w:szCs w:val="20"/>
        </w:rPr>
        <w:t xml:space="preserve">No.</w:t>
      </w:r>
    </w:p>
    <w:p>
      <w:pPr>
        <w:pStyle w:val="Heading2"/>
      </w:pPr>
      <w:r>
        <w:t xml:space="preserve">9.  Environmental</w:t>
      </w:r>
    </w:p>
    <w:p>
      <w:pPr>
        <w:spacing w:after="30" w:before="100"/>
      </w:pPr>
      <w:r>
        <w:rPr>
          <w:b/>
          <w:bCs/>
          <w:sz w:val="20"/>
          <w:szCs w:val="20"/>
        </w:rPr>
        <w:t xml:space="preserve">9.1  Is the Seller aware of any contamination or environmental issue affecting the Property?</w:t>
      </w:r>
    </w:p>
    <w:p>
      <w:pPr>
        <w:spacing w:after="60"/>
        <w:ind w:left="360"/>
      </w:pPr>
      <w:r>
        <w:rPr>
          <w:b/>
          <w:bCs/>
          <w:i/>
          <w:iCs/>
          <w:sz w:val="20"/>
          <w:szCs w:val="20"/>
        </w:rPr>
        <w:t xml:space="preserve">Reply:  </w:t>
      </w:r>
      <w:r>
        <w:rPr>
          <w:sz w:val="20"/>
          <w:szCs w:val="20"/>
        </w:rPr>
        <w:t xml:space="preserve">The Seller is not aware of any contamination. An environmental desktop report dated 2017 (obtained on the Seller’s acquisition) is available and has been included in the data room.</w:t>
      </w:r>
    </w:p>
    <w:p>
      <w:pPr>
        <w:pStyle w:val="Heading2"/>
      </w:pPr>
      <w:r>
        <w:t xml:space="preserve">10.  Town planning</w:t>
      </w:r>
    </w:p>
    <w:p>
      <w:pPr>
        <w:spacing w:after="30" w:before="100"/>
      </w:pPr>
      <w:r>
        <w:rPr>
          <w:b/>
          <w:bCs/>
          <w:sz w:val="20"/>
          <w:szCs w:val="20"/>
        </w:rPr>
        <w:t xml:space="preserve">10.1  Please give details of the current planning use of the Property.</w:t>
      </w:r>
    </w:p>
    <w:p>
      <w:pPr>
        <w:spacing w:after="60"/>
        <w:ind w:left="360"/>
      </w:pPr>
      <w:r>
        <w:rPr>
          <w:b/>
          <w:bCs/>
          <w:i/>
          <w:iCs/>
          <w:sz w:val="20"/>
          <w:szCs w:val="20"/>
        </w:rPr>
        <w:t xml:space="preserve">Reply:  </w:t>
      </w:r>
      <w:r>
        <w:rPr>
          <w:sz w:val="20"/>
          <w:szCs w:val="20"/>
        </w:rPr>
        <w:t xml:space="preserve">The Property is used as offices (Use Class E). The Seller is not aware of any breach of planning control.</w:t>
      </w:r>
    </w:p>
    <w:p>
      <w:pPr>
        <w:pStyle w:val="Heading2"/>
      </w:pPr>
      <w:r>
        <w:t xml:space="preserve">11.  Insurance</w:t>
      </w:r>
    </w:p>
    <w:p>
      <w:pPr>
        <w:spacing w:after="30" w:before="100"/>
      </w:pPr>
      <w:r>
        <w:rPr>
          <w:b/>
          <w:bCs/>
          <w:sz w:val="20"/>
          <w:szCs w:val="20"/>
        </w:rPr>
        <w:t xml:space="preserve">11.1  Please give details of the Seller’s buildings insurance.</w:t>
      </w:r>
    </w:p>
    <w:p>
      <w:pPr>
        <w:spacing w:after="60"/>
        <w:ind w:left="360"/>
      </w:pPr>
      <w:r>
        <w:rPr>
          <w:b/>
          <w:bCs/>
          <w:i/>
          <w:iCs/>
          <w:sz w:val="20"/>
          <w:szCs w:val="20"/>
        </w:rPr>
        <w:t xml:space="preserve">Reply:  </w:t>
      </w:r>
      <w:r>
        <w:rPr>
          <w:sz w:val="20"/>
          <w:szCs w:val="20"/>
        </w:rPr>
        <w:t xml:space="preserve">The Property is insured under the Seller’s block policy with Aviva Insurance Limited to a reinstatement value of £14.2 million. Cover will be maintained to completion.</w:t>
      </w:r>
    </w:p>
    <w:p>
      <w:pPr>
        <w:pStyle w:val="Heading2"/>
      </w:pPr>
      <w:r>
        <w:t xml:space="preserve">12.  VAT</w:t>
      </w:r>
    </w:p>
    <w:p>
      <w:pPr>
        <w:spacing w:after="30" w:before="100"/>
      </w:pPr>
      <w:r>
        <w:rPr>
          <w:b/>
          <w:bCs/>
          <w:sz w:val="20"/>
          <w:szCs w:val="20"/>
        </w:rPr>
        <w:t xml:space="preserve">12.1  Has the Seller elected to waive exemption (opted to tax)?</w:t>
      </w:r>
    </w:p>
    <w:p>
      <w:pPr>
        <w:spacing w:after="60"/>
        <w:ind w:left="360"/>
      </w:pPr>
      <w:r>
        <w:rPr>
          <w:b/>
          <w:bCs/>
          <w:i/>
          <w:iCs/>
          <w:sz w:val="20"/>
          <w:szCs w:val="20"/>
        </w:rPr>
        <w:t xml:space="preserve">Reply:  </w:t>
      </w:r>
      <w:r>
        <w:rPr>
          <w:sz w:val="20"/>
          <w:szCs w:val="20"/>
        </w:rPr>
        <w:t xml:space="preserve">Yes. The Seller opted to tax the Property with effect from its acquisition on 17 October 2017; the option has not been revoked. The parties intend the sale to be a TOGC.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4"/>
        <w:szCs w:val="14"/>
      </w:rPr>
      <w:t xml:space="preserve">CPSE.1 Replies — Calderdale 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lvl w:ilvl="1" w15:tentative="1">
      <w:start w:val="1"/>
      <w:numFmt w:val="decimal"/>
      <w:lvlText w:val="%1.%2"/>
      <w:lvlJc w:val="left"/>
      <w:pPr>
        <w:ind w:left="1134" w:hanging="567"/>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2026-06-28T14:31:21.752Z</dcterms:created>
  <dcterms:modified xsi:type="dcterms:W3CDTF">2026-06-28T14:31:21.752Z</dcterms:modified>
</cp:coreProperties>
</file>

<file path=docProps/custom.xml><?xml version="1.0" encoding="utf-8"?>
<Properties xmlns="http://schemas.openxmlformats.org/officeDocument/2006/custom-properties" xmlns:vt="http://schemas.openxmlformats.org/officeDocument/2006/docPropsVTypes"/>
</file>