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b/>
          <w:bCs/>
          <w:sz w:val="26"/>
          <w:szCs w:val="26"/>
        </w:rPr>
      </w:pPr>
      <w:r>
        <w:rPr>
          <w:b/>
          <w:bCs/>
          <w:sz w:val="26"/>
          <w:szCs w:val="26"/>
        </w:rPr>
        <w:t xml:space="preserve">HEADS OF TERMS – SUBJECT TO CONTRACT</w:t>
      </w:r>
    </w:p>
    <w:p>
      <w:pPr>
        <w:spacing w:after="120"/>
        <w:jc w:val="center"/>
        <w:rPr>
          <w:b/>
          <w:bCs/>
        </w:rPr>
      </w:pPr>
      <w:r>
        <w:rPr>
          <w:b/>
          <w:bCs/>
        </w:rPr>
        <w:t xml:space="preserve">Sale and purchase of the freehold of Calderdale House, 14–18 Sefton Street, Manchester M3 4AP</w:t>
      </w:r>
    </w:p>
    <w:p>
      <w:pPr>
        <w:spacing w:after="120"/>
        <w:jc w:val="center"/>
        <w:rPr>
          <w:i/>
          <w:iCs/>
          <w:sz w:val="18"/>
          <w:szCs w:val="18"/>
        </w:rPr>
      </w:pPr>
      <w:r>
        <w:rPr>
          <w:i/>
          <w:iCs/>
          <w:sz w:val="18"/>
          <w:szCs w:val="18"/>
        </w:rPr>
        <w:t xml:space="preserve">Prepared by Whitfield Carter LLP for Ellwood Estates Partners Limited – 13 January 2025</w:t>
      </w:r>
    </w:p>
    <w:p>
      <w:pPr>
        <w:spacing w:after="120"/>
      </w:pPr>
      <w:r>
        <w:t xml:space="preserve"/>
      </w:r>
    </w:p>
    <w:p>
      <w:pPr>
        <w:spacing w:after="120"/>
      </w:pPr>
      <w:r>
        <w:t xml:space="preserve">These heads of terms record the principal commercial terms agreed in principle between the parties. They are not intended to create legally binding obligations (save in respect of exclusivity and costs) and are subject to contract and to satisfactory due diligence.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Item</w:t>
            </w:r>
          </w:p>
        </w:tc>
        <w:tc>
          <w:tcPr>
            <w:tcW w:type="dxa" w:w="66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Terms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Property</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freehold interest in Calderdale House, 14–18 Sefton Street, Manchester M3 4AP, registered at HM Land Registry under title number GM428193, comprising a four-storey multi-let office building of approximately 31,400 sq ft net internal area with 22 car parking spaces.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Seller</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Westmere Property Trust Limited (company no. 06122845)</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Buyer</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Ellwood Estates Partners Limited (company no. 11583042) or a wholly-owned group company nominated before exchange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Tenure</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Freehold, sold subject to and with the benefit of the existing occupational leases (the Property to be sold as an investment, tenanted)</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Purchase price</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£8,300,000 (exclusive of VAT), reflecting a net initial yield of approximately 7.1%</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Deposit</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 of the purchase price payable on exchange of contracts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VAT</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Seller has opted to tax. The sale is intended to be treated as a transfer of a going concern (TOGC); the Buyer will opt to tax and notify HMRC before completion</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Occupational tenancies</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Sold subject to the three existing leases to Harlow Reed Consulting LLP, Northbank Insurance Services Limited and Castleford Media Limited, with passing rent of £601,500 per annum in aggregate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Deposit / rent apportionment</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Rents, service charge and outgoings to be apportioned at completion on the basis of the completion date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Exclusivity</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The Seller grants the Buyer an exclusivity period of six weeks from the date of these heads of terms during which the Seller will not negotiate with any other party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Conditions</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Satisfactory title, replies to enquiries, searches and a building survey; Buyer board approval</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Target exchange</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By 7 March 2025</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Target completion</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By 28 March 2025</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Buyer's solicitors</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Whitfield Carter LLP (Sarah Whitfield / Elena Marchetti)</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Seller's solicitors</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Pemberton Rowe LLP (Alistair Whitlock / Nadia Iqbal)</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Costs</w:t>
            </w:r>
          </w:p>
        </w:tc>
        <w:tc>
          <w:tcPr>
            <w:tcW w:type="dxa" w:w="66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Each party to bear its own legal and professional costs</w:t>
            </w:r>
          </w:p>
        </w:tc>
      </w:tr>
    </w:tbl>
    <w:p>
      <w:pPr>
        <w:spacing w:after="120"/>
      </w:pPr>
      <w:r>
        <w:t xml:space="preserve"/>
      </w:r>
    </w:p>
    <w:p>
      <w:pPr>
        <w:spacing w:after="120"/>
        <w:rPr>
          <w:i/>
          <w:iCs/>
        </w:rPr>
      </w:pPr>
      <w:r>
        <w:rPr>
          <w:i/>
          <w:iCs/>
        </w:rPr>
        <w:t xml:space="preserve">Agreed in principle subject to contract.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4"/>
        <w:szCs w:val="14"/>
      </w:rPr>
      <w:t xml:space="preserve">Whitfield Carter LLP is a limited liability partnership registered in England and Wales.  Confidential and may be legally privileged.   </w:t>
    </w: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1"/>
      </w:pBdr>
      <w:spacing w:after="60"/>
      <w:jc w:val="left"/>
    </w:pPr>
    <w:r>
      <w:rPr>
        <w:color w:val="595959"/>
        <w:sz w:val="16"/>
        <w:szCs w:val="16"/>
      </w:rPr>
      <w:t xml:space="preserve">22 Bishopsgate, London EC2N 4BQ  ·  +44 (0)20 7946 0100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080" w:hanging="60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2026-06-28T14:31:21.516Z</dcterms:created>
  <dcterms:modified xsi:type="dcterms:W3CDTF">2026-06-28T14:31:21.516Z</dcterms:modified>
</cp:coreProperties>
</file>

<file path=docProps/custom.xml><?xml version="1.0" encoding="utf-8"?>
<Properties xmlns="http://schemas.openxmlformats.org/officeDocument/2006/custom-properties" xmlns:vt="http://schemas.openxmlformats.org/officeDocument/2006/docPropsVTypes"/>
</file>