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color w:val="555555"/>
          <w:sz w:val="18"/>
          <w:szCs w:val="18"/>
        </w:rPr>
        <w:t xml:space="preserve">Our ref: SW/JO/INDIGO/WC-00195</w:t>
      </w:r>
    </w:p>
    <w:p>
      <w:pPr>
        <w:spacing w:after="200" w:before="0"/>
      </w:pPr>
      <w:r>
        <w:t xml:space="preserve">8 October 2025</w:t>
      </w:r>
    </w:p>
    <w:p>
      <w:pPr>
        <w:spacing w:after="0" w:before="0"/>
      </w:pPr>
      <w:r>
        <w:t xml:space="preserve">Ms Isobel Hartley</w:t>
      </w:r>
    </w:p>
    <w:p>
      <w:pPr>
        <w:spacing w:after="0" w:before="0"/>
      </w:pPr>
      <w:r>
        <w:t xml:space="preserve">Director</w:t>
      </w:r>
    </w:p>
    <w:p>
      <w:pPr>
        <w:spacing w:after="0" w:before="0"/>
      </w:pPr>
      <w:r>
        <w:t xml:space="preserve">Halbrook Estates Limited</w:t>
      </w:r>
    </w:p>
    <w:p>
      <w:pPr>
        <w:spacing w:after="220" w:before="0"/>
      </w:pPr>
      <w:r>
        <w:t xml:space="preserve">Sentinel House, 14 Park Row, Leeds LS1 5HD</w:t>
      </w:r>
    </w:p>
    <w:p>
      <w:pPr>
        <w:spacing w:after="160" w:before="0"/>
      </w:pPr>
      <w:r>
        <w:t xml:space="preserve">Dear Isobel</w:t>
      </w:r>
    </w:p>
    <w:p>
      <w:pPr>
        <w:spacing w:after="160"/>
      </w:pPr>
      <w:r>
        <w:rPr>
          <w:b/>
          <w:bCs/>
        </w:rPr>
        <w:t xml:space="preserve">Re: Proposed acquisition of Meridian Quarter, 18 Wellington Place, Leeds (“Project Indigo”)</w:t>
      </w:r>
    </w:p>
    <w:p>
      <w:pPr>
        <w:spacing w:after="120" w:before="0"/>
      </w:pPr>
      <w:r>
        <w:t xml:space="preserve">Thank you for instructing Whitfield Carter LLP in connection with the proposed acquisition by a wholly-owned special purpose vehicle of Halbrook Estates Limited of the freehold investment property known as Meridian Quarter, 18 Wellington Place, Leeds LS1 4DL, registered at HM Land Registry under title number WYK482176. This letter, together with our enclosed Terms of Business, sets out the basis on which we will act for you.</w:t>
      </w:r>
    </w:p>
    <w:p>
      <w:pPr>
        <w:pStyle w:val="Heading2"/>
      </w:pPr>
      <w:r>
        <w:t xml:space="preserve">1.  Scope of our engagement</w:t>
      </w:r>
    </w:p>
    <w:p>
      <w:pPr>
        <w:spacing w:after="120" w:before="0"/>
      </w:pPr>
      <w:r>
        <w:t xml:space="preserve">We will advise on and carry out the legal work necessary to complete the acquisition, including: investigation of title and review of the official copies of the register and title plan; raising and reviewing replies to commercial property standard enquiries (CPSE.1) and any supplemental enquiries; reviewing the tenancy documentation and apportioning rents and service charge; reporting to you on title and the results of our investigations; negotiating and settling the contract for sale, transfer (TR1) and ancillary documents; liaising with your funder, Pennine Business Bank plc, and its solicitors on the security documentation; and dealing with completion, payment of Stamp Duty Land Tax and registration.</w:t>
      </w:r>
    </w:p>
    <w:p>
      <w:pPr>
        <w:pStyle w:val="Heading2"/>
      </w:pPr>
      <w:r>
        <w:t xml:space="preserve">2.  The team</w:t>
      </w:r>
    </w:p>
    <w:p>
      <w:pPr>
        <w:spacing w:after="120" w:before="0"/>
      </w:pPr>
      <w:r>
        <w:t xml:space="preserve">The matter will be led by Sarah Whitfield (Partner), supported by James Osei (Senior Associate) who will have day-to-day conduct, and Elena Marchetti (Associate). Sarah is responsible overall for the quality of the work and is your point of contact for any concern about the service you receive.</w:t>
      </w:r>
    </w:p>
    <w:p>
      <w:pPr>
        <w:pStyle w:val="Heading2"/>
      </w:pPr>
      <w:r>
        <w:t xml:space="preserve">3.  Fees</w:t>
      </w:r>
    </w:p>
    <w:p>
      <w:pPr>
        <w:spacing w:after="120" w:before="0"/>
      </w:pPr>
      <w:r>
        <w:t xml:space="preserve">We estimate our professional fees for this matter at between £32,000 and £38,000 plus VAT and disbursements, assuming a single freehold investment acquisition completing broadly to the timetable discussed and no unforeseen title or tenancy complications. Disbursements will include HM Land Registry fees, search fees, and bank transfer fees. Stamp Duty Land Tax of approximately £702,000 will be payable on a purchase price of £14,250,000; this is a tax and not part of our fee.</w:t>
      </w:r>
    </w:p>
    <w:p>
      <w:pPr>
        <w:spacing w:after="120" w:before="0"/>
      </w:pPr>
      <w:r>
        <w:t xml:space="preserve">We will render interim bills at key stages (exchange and completion) and a final bill on registration. Our fees are not contingent on the transaction proceeding to completion.</w:t>
      </w:r>
    </w:p>
    <w:p>
      <w:pPr>
        <w:pStyle w:val="Heading2"/>
      </w:pPr>
      <w:r>
        <w:t xml:space="preserve">4.  Anti-money laundering and source of funds</w:t>
      </w:r>
    </w:p>
    <w:p>
      <w:pPr>
        <w:spacing w:after="120" w:before="0"/>
      </w:pPr>
      <w:r>
        <w:t xml:space="preserve">As you are aware, we are required to verify the identity of our client and to understand the source of the funds being applied to the purchase. We have completed our electronic verification for Halbrook Estates Limited and the SPV. Please arrange for the balance completion monies to be remitted from the accounts already notified to us; we are unable to accept funds from a third party without prior written explanation and verification.</w:t>
      </w:r>
    </w:p>
    <w:p>
      <w:pPr>
        <w:pStyle w:val="Heading2"/>
      </w:pPr>
      <w:r>
        <w:t xml:space="preserve">5.  Timetable</w:t>
      </w:r>
    </w:p>
    <w:p>
      <w:pPr>
        <w:spacing w:after="120" w:before="0"/>
      </w:pPr>
      <w:r>
        <w:t xml:space="preserve">Subject to satisfactory title investigation, replies to enquiries and finalisation of the bank facility, the parties are presently working towards exchange of contracts in December 2025 and completion on or around 12 February 2026. We will keep this timetable under review with you and Gavin Doyle at the bank.</w:t>
      </w:r>
    </w:p>
    <w:p>
      <w:pPr>
        <w:spacing w:after="200" w:before="0"/>
      </w:pPr>
      <w:r>
        <w:t xml:space="preserve">Please confirm your agreement to these terms by signing and returning the enclosed copy of this letter. We are delighted to be acting for you on Project Indigo and look forward to working with you and the team.</w:t>
      </w:r>
    </w:p>
    <w:p>
      <w:pPr>
        <w:spacing w:after="240" w:before="0"/>
      </w:pPr>
      <w:r>
        <w:t xml:space="preserve">Yours sincerely</w:t>
      </w:r>
    </w:p>
    <w:p>
      <w:pPr>
        <w:spacing w:after="0" w:before="0"/>
      </w:pPr>
      <w:r>
        <w:rPr>
          <w:b/>
          <w:bCs/>
        </w:rPr>
        <w:t xml:space="preserve">Sarah Whitfield</w:t>
      </w:r>
    </w:p>
    <w:p>
      <w:pPr>
        <w:spacing w:after="120" w:before="0"/>
      </w:pPr>
      <w:r>
        <w:rPr>
          <w:color w:val="555555"/>
          <w:sz w:val="18"/>
          <w:szCs w:val="18"/>
        </w:rPr>
        <w:t xml:space="preserve">Partner | 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pPr>
    <w:r>
      <w:rPr>
        <w:color w:val="888888"/>
        <w:sz w:val="14"/>
        <w:szCs w:val="14"/>
      </w:rPr>
      <w:t xml:space="preserve">Confidential and may be legally privileged.</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sz w:val="26"/>
        <w:szCs w:val="26"/>
      </w:rPr>
      <w:t xml:space="preserve">WHITFIELD CARTER LLP</w:t>
    </w:r>
  </w:p>
  <w:p>
    <w:pPr>
      <w:spacing w:after="0"/>
    </w:pPr>
    <w:r>
      <w:rPr>
        <w:color w:val="555555"/>
        <w:sz w:val="16"/>
        <w:szCs w:val="16"/>
      </w:rPr>
      <w:t xml:space="preserve">22 Bishopsgate, London EC2N 4BQ</w:t>
    </w:r>
  </w:p>
  <w:p>
    <w:pPr>
      <w:pBdr>
        <w:bottom w:val="single" w:color="1F3864" w:sz="6" w:space="1"/>
      </w:pBdr>
      <w:spacing w:after="120"/>
    </w:pPr>
    <w:r>
      <w:rPr>
        <w:color w:val="555555"/>
        <w:sz w:val="16"/>
        <w:szCs w:val="16"/>
      </w:rPr>
      <w:t xml:space="preserve">T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080" w:hanging="54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2026-06-29T23:41:16.080Z</dcterms:created>
  <dcterms:modified xsi:type="dcterms:W3CDTF">2026-06-29T23:41:16.080Z</dcterms:modified>
</cp:coreProperties>
</file>

<file path=docProps/custom.xml><?xml version="1.0" encoding="utf-8"?>
<Properties xmlns="http://schemas.openxmlformats.org/officeDocument/2006/custom-properties" xmlns:vt="http://schemas.openxmlformats.org/officeDocument/2006/docPropsVTypes"/>
</file>