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HEADS OF TERMS (SUBJECT TO CONTRACT)</w:t>
      </w:r>
    </w:p>
    <w:p>
      <w:pPr>
        <w:spacing w:after="200"/>
        <w:jc w:val="center"/>
      </w:pPr>
      <w:r>
        <w:rPr>
          <w:b/>
          <w:bCs/>
        </w:rPr>
        <w:t xml:space="preserve">Project Indigo – Sale and purchase of Meridian Quarter, Leeds</w:t>
      </w:r>
    </w:p>
    <w:p>
      <w:pPr>
        <w:spacing w:after="200" w:before="0"/>
      </w:pPr>
      <w:r>
        <w:rPr>
          <w:i/>
          <w:iCs/>
        </w:rPr>
        <w:t xml:space="preserve">These heads of terms are subject to contract and to satisfactory due diligence. They are not intended to create legally binding obligations save in respect of the exclusivity and costs provisions at items 11 and 12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Item</w:t>
            </w:r>
          </w:p>
        </w:tc>
        <w:tc>
          <w:tcPr>
            <w:tcW w:type="dxa" w:w="67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Terms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Property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Meridian Quarter, 18 Wellington Place, Leeds LS1 4DL (freehold, title WYK482176).</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Seller</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Tarncliffe Asset Holdings Limited (a wholly-owned subsidiary of Tarncliffe Group plc).</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Buyer</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Halbrook Meridian Propco Limited, an SPV wholly owned by Halbrook Estates Limited.</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Interest</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Freehold, sold subject to and with the benefit of the existing occupational leases (six lettings).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Purchase price</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£14,750,000 (fourteen million seven hundred and fifty thousand pounds), exclusive of VAT. The property has been elected for VAT; the parties intend the sale to proceed as a transfer of a going concern (TOGC).</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Net initial yield</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Reflecting approximately 6.76% on the headline price against passing rent of £1,065,000 per annum, after standard purchaser’s costs.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Deposit</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10% of the purchase price payable on exchange, held by the Seller’s solicitors as stakeholder.</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Completion</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20 working days after exchange, target 12 February 2026.</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Tenancies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Six occupational leases. Headline passing rent £1,065,000 p.a. WAULT 6.4 years to expiry / 4.1 years to break. One unit (Unit 3) subject to a 2026 rent review; one (Unit 5) with a tenant break in March 2027.</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Conditions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Satisfactory title, replies to CPSE enquiries, searches and survey; Buyer board approval; Buyer funding (Pennine Business Bank plc).</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Costs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Each party bears its own legal and professional costs.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Exclusivity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The Seller grants the Buyer exclusivity for 8 weeks from the date of these heads of terms.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rPr>
              <w:t xml:space="preserve">Advisers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Buyer: Whitfield Carter LLP (Sarah Whitfield). Seller: Pendle Voss LLP (Marcus Pendle). Buyer’s surveyor: Calderbank Vine.</w:t>
            </w:r>
          </w:p>
        </w:tc>
      </w:tr>
    </w:tbl>
    <w:p>
      <w:pPr>
        <w:spacing w:after="120" w:before="0"/>
      </w:pPr>
      <w:r>
        <w:t xml:space="preserve"/>
      </w:r>
    </w:p>
    <w:p>
      <w:pPr>
        <w:spacing w:after="120" w:before="0"/>
      </w:pPr>
      <w:r>
        <w:rPr>
          <w:i/>
          <w:iCs/>
        </w:rPr>
        <w:t xml:space="preserve">Agreed in principle, subject to contract.</w:t>
      </w:r>
    </w:p>
    <w:p>
      <w:pPr>
        <w:spacing w:after="120" w:before="0"/>
      </w:pPr>
      <w:r>
        <w:rPr>
          <w:sz w:val="18"/>
          <w:szCs w:val="18"/>
        </w:rPr>
        <w:t xml:space="preserve">For Halbrook Estates Limited: Isobel Hartley           For Tarncliffe Asset Holdings Limited: Gareth Tarn</w:t>
      </w:r>
    </w:p>
    <w:p>
      <w:pPr>
        <w:spacing w:after="120" w:before="0"/>
      </w:pPr>
      <w:r>
        <w:rPr>
          <w:color w:val="555555"/>
          <w:sz w:val="18"/>
          <w:szCs w:val="18"/>
        </w:rPr>
        <w:t xml:space="preserve">Dated 14 October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60"/>
    </w:pPr>
    <w:r>
      <w:rPr>
        <w:color w:val="888888"/>
        <w:sz w:val="14"/>
        <w:szCs w:val="14"/>
      </w:rPr>
      <w:t xml:space="preserve">Subject to contract –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080" w:hanging="54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2026-06-29T23:41:16.094Z</dcterms:created>
  <dcterms:modified xsi:type="dcterms:W3CDTF">2026-06-29T23:41:16.094Z</dcterms:modified>
</cp:coreProperties>
</file>

<file path=docProps/custom.xml><?xml version="1.0" encoding="utf-8"?>
<Properties xmlns="http://schemas.openxmlformats.org/officeDocument/2006/custom-properties" xmlns:vt="http://schemas.openxmlformats.org/officeDocument/2006/docPropsVTypes"/>
</file>