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i/>
          <w:iCs/>
          <w:sz w:val="20"/>
          <w:szCs w:val="20"/>
        </w:rPr>
        <w:t xml:space="preserve">The Companies Act 2006</w:t>
      </w:r>
    </w:p>
    <w:p>
      <w:pPr>
        <w:jc w:val="center"/>
      </w:pPr>
      <w:r>
        <w:rPr>
          <w:sz w:val="20"/>
          <w:szCs w:val="20"/>
        </w:rPr>
        <w:t xml:space="preserve">Private company limited by shares</w:t>
      </w:r>
    </w:p>
    <w:p>
      <w:pPr>
        <w:spacing w:after="120"/>
        <w:jc w:val="center"/>
      </w:pPr>
      <w:r>
        <w:rPr>
          <w:b/>
          <w:bCs/>
          <w:sz w:val="26"/>
          <w:szCs w:val="26"/>
        </w:rPr>
        <w:t xml:space="preserve">AMENDED AND RESTATED ARTICLES OF ASSOCIATION</w:t>
      </w:r>
    </w:p>
    <w:p>
      <w:pPr>
        <w:jc w:val="center"/>
      </w:pPr>
      <w:r>
        <w:rPr>
          <w:b/>
          <w:bCs/>
          <w:sz w:val="22"/>
          <w:szCs w:val="22"/>
        </w:rPr>
        <w:t xml:space="preserve">of Halcyon Photonics Limited (No. 11842037)</w:t>
      </w:r>
    </w:p>
    <w:p>
      <w:pPr>
        <w:spacing w:after="120"/>
        <w:jc w:val="center"/>
      </w:pPr>
      <w:r>
        <w:rPr>
          <w:i/>
          <w:iCs/>
          <w:sz w:val="18"/>
          <w:szCs w:val="18"/>
        </w:rPr>
        <w:t xml:space="preserve">adopted by special resolution passed on 5 March 2025</w:t>
      </w:r>
    </w:p>
    <w:p>
      <w:pPr>
        <w:pStyle w:val="Heading1"/>
      </w:pPr>
      <w:r>
        <w:t xml:space="preserve">1.  SHARE CAPITAL AND CLASSES</w:t>
      </w:r>
    </w:p>
    <w:p>
      <w:pPr>
        <w:pStyle w:val="ListParagraph"/>
        <w:numPr>
          <w:ilvl w:val="1"/>
          <w:numId w:val="2"/>
        </w:numPr>
        <w:spacing w:after="100"/>
      </w:pPr>
      <w:r>
        <w:t xml:space="preserve">The share capital of the Company is divided into Ordinary Shares, Series A Preferred Shares and Series B Preferred Shares, each of £0.001, having the rights set out in these Articles.</w:t>
      </w:r>
    </w:p>
    <w:p>
      <w:pPr>
        <w:pStyle w:val="Heading1"/>
      </w:pPr>
      <w:r>
        <w:t xml:space="preserve">2.  DIVIDENDS</w:t>
      </w:r>
    </w:p>
    <w:p>
      <w:pPr>
        <w:pStyle w:val="ListParagraph"/>
        <w:numPr>
          <w:ilvl w:val="1"/>
          <w:numId w:val="2"/>
        </w:numPr>
        <w:spacing w:after="100"/>
      </w:pPr>
      <w:r>
        <w:t xml:space="preserve">The Series B Shares carry the right to a fixed preferential dividend of 8% per annum, non-cumulative, in priority to the Series A and Ordinary Shares, payable only if and when declared by the board with Investor Director consent.</w:t>
      </w:r>
    </w:p>
    <w:p>
      <w:pPr>
        <w:pStyle w:val="Heading1"/>
      </w:pPr>
      <w:r>
        <w:t xml:space="preserve">3.  RETURN OF CAPITAL / LIQUIDATION PREFERENCE</w:t>
      </w:r>
    </w:p>
    <w:p>
      <w:pPr>
        <w:pStyle w:val="ListParagraph"/>
        <w:numPr>
          <w:ilvl w:val="1"/>
          <w:numId w:val="2"/>
        </w:numPr>
        <w:spacing w:after="100"/>
      </w:pPr>
      <w:r>
        <w:t xml:space="preserve">On a return of capital on a liquidation, sale or winding up, the holders of Series B Shares are entitled, in priority to all other classes, to receive an amount equal to 1.0x of the Issue Price per Series B Share plus any declared but unpaid dividend (the "Series B Preference"). The preference is non-participating: a holder receives the greater of the Series B Preference and the amount it would receive on an as-converted basis.</w:t>
      </w:r>
    </w:p>
    <w:p>
      <w:pPr>
        <w:pStyle w:val="ListParagraph"/>
        <w:numPr>
          <w:ilvl w:val="1"/>
          <w:numId w:val="2"/>
        </w:numPr>
        <w:spacing w:after="100"/>
      </w:pPr>
      <w:r>
        <w:t xml:space="preserve">After payment of the Series B Preference, the Series A preference is paid, and the balance is distributed among the holders of Ordinary Shares and (on an as-converted basis) any preferred shares electing to convert.</w:t>
      </w:r>
    </w:p>
    <w:p>
      <w:pPr>
        <w:pStyle w:val="Heading1"/>
      </w:pPr>
      <w:r>
        <w:t xml:space="preserve">4.  CONVERSION</w:t>
      </w:r>
    </w:p>
    <w:p>
      <w:pPr>
        <w:pStyle w:val="ListParagraph"/>
        <w:numPr>
          <w:ilvl w:val="1"/>
          <w:numId w:val="2"/>
        </w:numPr>
        <w:spacing w:after="100"/>
      </w:pPr>
      <w:r>
        <w:t xml:space="preserve">Each Series B Share converts into Ordinary Shares at the option of the holder at any time, and automatically on a Qualifying IPO or with the consent of an Investor Majority, at the then-applicable conversion rate (initially one-for-one, subject to anti-dilution adjustment).</w:t>
      </w:r>
    </w:p>
    <w:p>
      <w:pPr>
        <w:pStyle w:val="Heading1"/>
      </w:pPr>
      <w:r>
        <w:t xml:space="preserve">5.  ANTI-DILUTION</w:t>
      </w:r>
    </w:p>
    <w:p>
      <w:pPr>
        <w:pStyle w:val="ListParagraph"/>
        <w:numPr>
          <w:ilvl w:val="1"/>
          <w:numId w:val="2"/>
        </w:numPr>
        <w:spacing w:after="100"/>
      </w:pPr>
      <w:r>
        <w:t xml:space="preserve">On a Down Round the conversion rate of the Series B Shares is adjusted on a broad-based weighted average basis.</w:t>
      </w:r>
    </w:p>
    <w:p>
      <w:pPr>
        <w:pStyle w:val="Heading1"/>
      </w:pPr>
      <w:r>
        <w:t xml:space="preserve">6.  VOTING</w:t>
      </w:r>
    </w:p>
    <w:p>
      <w:pPr>
        <w:pStyle w:val="ListParagraph"/>
        <w:numPr>
          <w:ilvl w:val="1"/>
          <w:numId w:val="2"/>
        </w:numPr>
        <w:spacing w:after="100"/>
      </w:pPr>
      <w:r>
        <w:t xml:space="preserve">Subject to the class-consent rights below, each share carries one vote on a poll. Certain matters require the separate consent of the holders of a majority of the Series B Shares (including the Lead Investor).</w:t>
      </w:r>
    </w:p>
    <w:p>
      <w:pPr>
        <w:pStyle w:val="Heading1"/>
      </w:pPr>
      <w:r>
        <w:t xml:space="preserve">7.  CLASS CONSENTS</w:t>
      </w:r>
    </w:p>
    <w:p>
      <w:pPr>
        <w:spacing w:after="120"/>
      </w:pPr>
      <w:r>
        <w:t xml:space="preserve">7.1  The Company shall not, without the consent of an Investor Majority, vary the rights of the Series B Shares, create senior or pari passu securities, or alter these Articles in a manner adverse to the Series B Shares.</w:t>
      </w:r>
    </w:p>
    <w:p>
      <w:pPr>
        <w:pStyle w:val="Heading1"/>
      </w:pPr>
      <w:r>
        <w:t xml:space="preserve">8.  PRE-EMPTION, TRANSFERS, DRAG AND TAG</w:t>
      </w:r>
    </w:p>
    <w:p>
      <w:pPr>
        <w:pStyle w:val="ListParagraph"/>
        <w:numPr>
          <w:ilvl w:val="1"/>
          <w:numId w:val="2"/>
        </w:numPr>
        <w:spacing w:after="100"/>
      </w:pPr>
      <w:r>
        <w:t xml:space="preserve">Pre-emption on new issues and transfers, the right of first refusal, co-sale, drag-along and tag-along apply as set out in these Articles and the Investors' Rights Agreement.</w:t>
      </w:r>
    </w:p>
    <w:p>
      <w:pPr>
        <w:pStyle w:val="Heading1"/>
      </w:pPr>
      <w:r>
        <w:t xml:space="preserve">9.  FOUNDER VESTING AND LEAVER PROVISIONS</w:t>
      </w:r>
    </w:p>
    <w:p>
      <w:pPr>
        <w:pStyle w:val="ListParagraph"/>
        <w:numPr>
          <w:ilvl w:val="1"/>
          <w:numId w:val="2"/>
        </w:numPr>
        <w:spacing w:after="100"/>
      </w:pPr>
      <w:r>
        <w:t xml:space="preserve">Founder shares are subject to reverse vesting over 36 months from 5 March 2025. A Good Leaver retains vested shares; a Bad Leaver may be required to transfer unvested (and in defined circumstances vested) shares at the lower of cost and fair value.</w:t>
      </w:r>
    </w:p>
    <w:p>
      <w:pPr>
        <w:pStyle w:val="Heading1"/>
      </w:pPr>
      <w:r>
        <w:t xml:space="preserve">10.  DIRECTORS</w:t>
      </w:r>
    </w:p>
    <w:p>
      <w:pPr>
        <w:pStyle w:val="ListParagraph"/>
        <w:numPr>
          <w:ilvl w:val="1"/>
          <w:numId w:val="2"/>
        </w:numPr>
        <w:spacing w:after="100"/>
      </w:pPr>
      <w:r>
        <w:t xml:space="preserve">The board comprises up to five directors. The Lead Investor may appoint and remove the Investor Director. The quorum for board meetings includes the Investor Director save where clause 6.2 of the Subscription Agreement applies.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tabs>
        <w:tab w:val="right" w:pos="9026"/>
      </w:tabs>
    </w:pPr>
    <w:r>
      <w:rPr>
        <w:color w:val="808080"/>
        <w:sz w:val="14"/>
        <w:szCs w:val="14"/>
      </w:rPr>
      <w:t xml:space="preserve">Whitfield Carter LLP — Confidential and may be legally privileged.</w:t>
    </w:r>
    <w:r>
      <w:rPr>
        <w:color w:val="808080"/>
        <w:sz w:val="14"/>
        <w:szCs w:val="14"/>
      </w:rPr>
      <w:t xml:space="preserve">	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1F3864"/>
        <w:sz w:val="26"/>
        <w:szCs w:val="26"/>
      </w:rPr>
      <w:t xml:space="preserve">Whitfield Carter LLP</w:t>
    </w:r>
  </w:p>
  <w:p>
    <w:pPr>
      <w:jc w:val="right"/>
    </w:pPr>
    <w:r>
      <w:rPr>
        <w:color w:val="595959"/>
        <w:sz w:val="16"/>
        <w:szCs w:val="16"/>
      </w:rPr>
      <w:t xml:space="preserve">22 Bishopsgate, London EC2N 4BQ  ·  www.whitfieldcarter.com</w:t>
    </w:r>
  </w:p>
  <w:p>
    <w:pPr>
      <w:pBdr>
        <w:bottom w:val="single" w:color="1F3864"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1080" w:hanging="720"/>
      </w:pPr>
    </w:lvl>
    <w:lvl w:ilvl="2" w15:tentative="1">
      <w:start w:val="1"/>
      <w:numFmt w:val="lowerLetter"/>
      <w:lvlText w:val="(%3)"/>
      <w:lvlJc w:val="left"/>
      <w:pPr>
        <w:ind w:left="1440" w:hanging="54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10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2026-06-29T15:57:50.357Z</dcterms:created>
  <dcterms:modified xsi:type="dcterms:W3CDTF">2026-06-29T15:57:50.357Z</dcterms:modified>
</cp:coreProperties>
</file>

<file path=docProps/custom.xml><?xml version="1.0" encoding="utf-8"?>
<Properties xmlns="http://schemas.openxmlformats.org/officeDocument/2006/custom-properties" xmlns:vt="http://schemas.openxmlformats.org/officeDocument/2006/docPropsVTypes"/>
</file>