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PROJECT INDIGO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COMPLETION CHECKLIST — SERIES B FINANCING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Target completion: 5 March 2025.  Status key: ✓ done · D draft · O outstanding.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/ step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letter signed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Company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 sheet signed (subject to contract)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/ Lead Investor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&amp; financial due diligence completed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Birchall Stone / Brindley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&amp; Shareholders' Agreement agreed (v3 executed)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Birchall Stone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Amended &amp; Restated Articles in agreed form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Investors' Rights Agreement executed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Birchall Stone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Disclosure Letter delivered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/ WC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resolutions (allotment &amp; approvals)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/ WC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Shareholders' written resolution (adopt Articles, disapply pre-emption)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/ WC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Convertible loan note (Aldridge Seed) conversion mechanics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Funds flow agreed; subscription monies received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Brindley / Company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certificates issued; register of members updated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SH01 and amended Articles filed at Companies House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cap table circulated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Company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</w:pPr>
    <w:r>
      <w:rPr>
        <w:color w:val="808080"/>
        <w:sz w:val="14"/>
        <w:szCs w:val="14"/>
      </w:rPr>
      <w:t xml:space="preserve">Whitfield Carter LLP — Confidential and may be legally privileged.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3864"/>
        <w:sz w:val="26"/>
        <w:szCs w:val="26"/>
      </w:rPr>
      <w:t xml:space="preserve">Whitfield Carter LLP</w:t>
    </w:r>
  </w:p>
  <w:p>
    <w:pPr>
      <w:jc w:val="right"/>
    </w:pPr>
    <w:r>
      <w:rPr>
        <w:color w:val="595959"/>
        <w:sz w:val="16"/>
        <w:szCs w:val="16"/>
      </w:rPr>
      <w:t xml:space="preserve">22 Bishopsgate, London EC2N 4BQ  ·  www.whitfieldcarter.com</w:t>
    </w:r>
  </w:p>
  <w:p>
    <w:pPr>
      <w:pBdr>
        <w:bottom w:val="single" w:color="1F3864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1080" w:hanging="720"/>
      </w:pPr>
    </w:lvl>
    <w:lvl w:ilvl="2" w15:tentative="1">
      <w:start w:val="1"/>
      <w:numFmt w:val="lowerLetter"/>
      <w:lvlText w:val="(%3)"/>
      <w:lvlJc w:val="left"/>
      <w:pPr>
        <w:ind w:left="1440" w:hanging="5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2026-06-29T15:57:50.390Z</dcterms:created>
  <dcterms:modified xsi:type="dcterms:W3CDTF">2026-06-29T15:57:50.390Z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