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From: Halcyon Photonics Limited and the Founders</w:t>
      </w:r>
    </w:p>
    <w:p>
      <w:pPr>
        <w:spacing w:after="120"/>
      </w:pPr>
      <w:r>
        <w:t xml:space="preserve">To: The Investors named in the Subscription Agreement, c/o Birchall Stone LLP</w:t>
      </w:r>
    </w:p>
    <w:p>
      <w:pPr>
        <w:spacing w:after="120"/>
      </w:pPr>
      <w:r>
        <w:t xml:space="preserve">Date: 5 March 2025</w:t>
      </w:r>
    </w:p>
    <w:p>
      <w:pPr>
        <w:spacing w:after="120"/>
      </w:pPr>
      <w:r>
        <w:t xml:space="preserve"/>
      </w:r>
    </w:p>
    <w:p>
      <w:pPr>
        <w:spacing w:after="120"/>
        <w:rPr>
          <w:b/>
          <w:bCs/>
        </w:rPr>
      </w:pPr>
      <w:r>
        <w:rPr>
          <w:b/>
          <w:bCs/>
        </w:rPr>
        <w:t xml:space="preserve">Dear Sirs</w:t>
      </w:r>
    </w:p>
    <w:p>
      <w:pPr>
        <w:spacing w:after="120"/>
        <w:rPr>
          <w:b/>
          <w:bCs/>
        </w:rPr>
      </w:pPr>
      <w:r>
        <w:rPr>
          <w:b/>
          <w:bCs/>
        </w:rPr>
        <w:t xml:space="preserve">Project Indigo — Disclosure Letter</w:t>
      </w:r>
    </w:p>
    <w:p>
      <w:pPr>
        <w:spacing w:after="120"/>
      </w:pPr>
      <w:r>
        <w:t xml:space="preserve">This letter is the Disclosure Letter referred to in the Subscription and Shareholders' Agreement of today's date (the "Agreement"). Terms defined in the Agreement have the same meaning here. The disclosures are made against the Warranties in Schedule 4 of the Agreement and qualify them accordingly. Matters disclosed against one Warranty are disclosed against all Warranties to which they are relevant on their face.</w:t>
      </w:r>
    </w:p>
    <w:p>
      <w:pPr>
        <w:pStyle w:val="Heading1"/>
      </w:pPr>
      <w:r>
        <w:t xml:space="preserve">1.  GENERAL DISCLOSURES</w:t>
      </w:r>
    </w:p>
    <w:p>
      <w:pPr>
        <w:spacing w:after="120"/>
      </w:pPr>
      <w:r>
        <w:t xml:space="preserve">The Investors are deemed to have knowledge of, and the Warranties are qualified by: (a) all matters apparent from the Company's filed accounts and Companies House record; (b) matters provided for or noted in the Accounts; and (c) all matters fairly disclosed in the data room hosted at indigo.dataroom.whitfieldcarter.com as at 3 March 2025, the index to which is appended.</w:t>
      </w:r>
    </w:p>
    <w:p>
      <w:pPr>
        <w:pStyle w:val="Heading1"/>
      </w:pPr>
      <w:r>
        <w:t xml:space="preserve">2.  SPECIFIC DISCLOSURES</w:t>
      </w:r>
    </w:p>
    <w:p>
      <w:pPr>
        <w:pStyle w:val="Heading2"/>
      </w:pPr>
      <w:r>
        <w:t xml:space="preserve">Against Warranty 2 (Share capital)</w:t>
      </w:r>
    </w:p>
    <w:p>
      <w:pPr>
        <w:spacing w:after="120"/>
      </w:pPr>
      <w:r>
        <w:t xml:space="preserve">The Company has granted options over 640,000 Ordinary Shares under its 2022 EMI scheme, of which options over 510,000 shares are outstanding. A convertible loan note of £500,000 issued to Aldridge Seed LP in 2023 converts into Series B Shares at Completion and is reflected in Schedule 2.</w:t>
      </w:r>
    </w:p>
    <w:p>
      <w:pPr>
        <w:pStyle w:val="Heading2"/>
      </w:pPr>
      <w:r>
        <w:t xml:space="preserve">Against Warranty 6 (Intellectual property)</w:t>
      </w:r>
    </w:p>
    <w:p>
      <w:pPr>
        <w:spacing w:after="120"/>
      </w:pPr>
      <w:r>
        <w:t xml:space="preserve">The Company's core low-loss optical coupler patent family (GB application 2218447.1 and PCT/GB2023/051120) is at national-phase entry in the US and EP; the EP examiner has raised an Article 84 clarity objection on claim 1, to which the Company's attorneys responded on 14 February 2025. Two inbound software licences (a place-and-route EDA tool and an open-source photonics library under the BSD-3 licence) are in use; details are in the data room.</w:t>
      </w:r>
    </w:p>
    <w:p>
      <w:pPr>
        <w:pStyle w:val="Heading2"/>
      </w:pPr>
      <w:r>
        <w:t xml:space="preserve">Against Warranty 7 (Material contracts)</w:t>
      </w:r>
    </w:p>
    <w:p>
      <w:pPr>
        <w:spacing w:after="120"/>
      </w:pPr>
      <w:r>
        <w:t xml:space="preserve">The Company's largest customer contract (a 1.6T optical-engine supply agreement with a hyperscaler, anonymised as "Customer A") contains a change-of-control notification provision; Customer A has been notified of the round and has confirmed no objection by email of 26 February 2025.</w:t>
      </w:r>
    </w:p>
    <w:p>
      <w:pPr>
        <w:pStyle w:val="Heading2"/>
      </w:pPr>
      <w:r>
        <w:t xml:space="preserve">Against Warranty 8 (Litigation)</w:t>
      </w:r>
    </w:p>
    <w:p>
      <w:pPr>
        <w:spacing w:after="120"/>
      </w:pPr>
      <w:r>
        <w:t xml:space="preserve">A former contractor has intimated a claim for unpaid invoices of £18,400; the Company disputes the claim and considers it without merit. No proceedings have been issued.</w:t>
      </w:r>
    </w:p>
    <w:p>
      <w:pPr>
        <w:pStyle w:val="Heading2"/>
      </w:pPr>
      <w:r>
        <w:t xml:space="preserve">Against Warranty 10 (Employees)</w:t>
      </w:r>
    </w:p>
    <w:p>
      <w:pPr>
        <w:spacing w:after="120"/>
      </w:pPr>
      <w:r>
        <w:t xml:space="preserve">The Company has 41 employees. Two senior engineers are on notice periods of six months. A grievance raised in November 2024 was resolved internally in December 2024.</w:t>
      </w:r>
    </w:p>
    <w:p>
      <w:pPr>
        <w:pStyle w:val="Heading2"/>
      </w:pPr>
      <w:r>
        <w:t xml:space="preserve">Against Warranty 11 (Tax)</w:t>
      </w:r>
    </w:p>
    <w:p>
      <w:pPr>
        <w:spacing w:after="120"/>
      </w:pPr>
      <w:r>
        <w:t xml:space="preserve">The Company has claimed R&amp;D tax relief for the years ended 31 December 2022 and 2023; the 2023 claim remains open with HMRC. The Company has obtained advance assurance of EIS eligibility, a copy of which is in the data room.</w:t>
      </w:r>
    </w:p>
    <w:p>
      <w:pPr>
        <w:pStyle w:val="Heading1"/>
      </w:pPr>
      <w:r>
        <w:t xml:space="preserve">3.  DISCLOSURE BUNDLE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Tab</w:t>
            </w:r>
          </w:p>
        </w:tc>
        <w:tc>
          <w:tcPr>
            <w:tcW w:type="dxa" w:w="83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Document</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Statutory books, certificate of incorporation and filed accounts</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Cap table and option scheme documents</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IP schedule, patent prosecution file and inbound licences</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Material customer and supplier contracts</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Employee list, template contracts and the resolved grievance file</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Tax computations, R&amp;D claims and EIS advance assurance</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G</w:t>
            </w:r>
          </w:p>
        </w:tc>
        <w:tc>
          <w:tcPr>
            <w:tcW w:type="dxa" w:w="8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Property leases and insurance policies</w:t>
            </w:r>
          </w:p>
        </w:tc>
      </w:tr>
    </w:tbl>
    <w:p>
      <w:pPr>
        <w:spacing w:after="120"/>
      </w:pPr>
      <w:r>
        <w:t xml:space="preserve"/>
      </w:r>
    </w:p>
    <w:p>
      <w:pPr>
        <w:spacing w:after="120"/>
      </w:pPr>
      <w:r>
        <w:t xml:space="preserve">Yours faithfully</w:t>
      </w:r>
    </w:p>
    <w:p>
      <w:pPr>
        <w:spacing w:after="120"/>
      </w:pPr>
      <w:r>
        <w:t xml:space="preserve">For and on behalf of Halcyon Photonics Limited: ____________________  Dr Anita Roy</w:t>
      </w:r>
    </w:p>
    <w:p>
      <w:pPr>
        <w:spacing w:after="120"/>
      </w:pPr>
      <w:r>
        <w:t xml:space="preserve">The Founder: ____________________  Dr Theo Eriksson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2026-06-29T15:57:50.374Z</dcterms:created>
  <dcterms:modified xsi:type="dcterms:W3CDTF">2026-06-29T15:57:50.374Z</dcterms:modified>
</cp:coreProperties>
</file>

<file path=docProps/custom.xml><?xml version="1.0" encoding="utf-8"?>
<Properties xmlns="http://schemas.openxmlformats.org/officeDocument/2006/custom-properties" xmlns:vt="http://schemas.openxmlformats.org/officeDocument/2006/docPropsVTypes"/>
</file>