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18"/>
          <w:szCs w:val="18"/>
        </w:rPr>
        <w:t xml:space="preserve">PRIVATE &amp; CONFIDENTIAL — ADDRESSEE ONLY</w:t>
      </w:r>
    </w:p>
    <w:p>
      <w:pPr>
        <w:spacing w:after="120"/>
        <w:rPr>
          <w:sz w:val="18"/>
          <w:szCs w:val="18"/>
        </w:rPr>
      </w:pPr>
      <w:r>
        <w:rPr>
          <w:sz w:val="18"/>
          <w:szCs w:val="18"/>
        </w:rPr>
        <w:t xml:space="preserve">Our ref: SW/JO/HALC-INDIGO/0041</w:t>
      </w:r>
    </w:p>
    <w:p>
      <w:pPr>
        <w:spacing w:after="120"/>
      </w:pPr>
      <w:r>
        <w:t xml:space="preserve">12 December 2024</w:t>
      </w:r>
    </w:p>
    <w:p>
      <w:pPr>
        <w:spacing w:after="120"/>
      </w:pPr>
      <w:r>
        <w:t xml:space="preserve">The Directors</w:t>
      </w:r>
    </w:p>
    <w:p>
      <w:pPr>
        <w:spacing w:after="120"/>
      </w:pPr>
      <w:r>
        <w:t xml:space="preserve">Halcyon Photonics Limited</w:t>
      </w:r>
    </w:p>
    <w:p>
      <w:pPr>
        <w:spacing w:after="120"/>
      </w:pPr>
      <w:r>
        <w:t xml:space="preserve">Unit 7, Granta Park, Great Abington, Cambridge CB21 6GP</w:t>
      </w:r>
    </w:p>
    <w:p>
      <w:pPr>
        <w:spacing w:after="120"/>
      </w:pPr>
      <w:r>
        <w:t xml:space="preserve"/>
      </w:r>
    </w:p>
    <w:p>
      <w:pPr>
        <w:spacing w:after="120"/>
        <w:rPr>
          <w:b/>
          <w:bCs/>
        </w:rPr>
      </w:pPr>
      <w:r>
        <w:rPr>
          <w:b/>
          <w:bCs/>
        </w:rPr>
        <w:t xml:space="preserve">Dear Directors</w:t>
      </w:r>
    </w:p>
    <w:p>
      <w:pPr>
        <w:spacing w:after="120"/>
        <w:rPr>
          <w:b/>
          <w:bCs/>
        </w:rPr>
      </w:pPr>
      <w:r>
        <w:rPr>
          <w:b/>
          <w:bCs/>
        </w:rPr>
        <w:t xml:space="preserve">Project Indigo — proposed Series B fundraising: terms of engagement</w:t>
      </w:r>
    </w:p>
    <w:p>
      <w:pPr>
        <w:spacing w:after="120"/>
      </w:pPr>
      <w:r>
        <w:t xml:space="preserve">Thank you for instructing Whitfield Carter LLP ("we", "us" or the "Firm") in connection with the proposed Series B preferred share fundraising by Halcyon Photonics Limited (the "Company"), under which the Company expects to raise approximately £18,000,000 of new equity capital led by Brindley Growth Partners LLP (the "Lead Investor"). This letter, together with our enclosed standard terms of business, sets out the basis on which we will act for the Company on this matter (the "Engagement").</w:t>
      </w:r>
    </w:p>
    <w:p>
      <w:pPr>
        <w:pStyle w:val="Heading2"/>
      </w:pPr>
      <w:r>
        <w:t xml:space="preserve">1.  Scope of work</w:t>
      </w:r>
    </w:p>
    <w:p>
      <w:pPr>
        <w:spacing w:after="120"/>
      </w:pPr>
      <w:r>
        <w:t xml:space="preserve">Our role is to act as legal counsel to the Company. Our work on the Engagement is expected to comprise:</w:t>
      </w:r>
    </w:p>
    <w:p>
      <w:pPr>
        <w:pStyle w:val="ListParagraph"/>
        <w:numPr>
          <w:ilvl w:val="0"/>
          <w:numId w:val="2"/>
        </w:numPr>
        <w:spacing w:after="60"/>
      </w:pPr>
      <w:r>
        <w:t xml:space="preserve">preparing and negotiating the subscription agreement, amended and restated articles of association, investors' rights agreement and ancillary completion documents;</w:t>
      </w:r>
    </w:p>
    <w:p>
      <w:pPr>
        <w:pStyle w:val="ListParagraph"/>
        <w:numPr>
          <w:ilvl w:val="0"/>
          <w:numId w:val="2"/>
        </w:numPr>
        <w:spacing w:after="60"/>
      </w:pPr>
      <w:r>
        <w:t xml:space="preserve">advising the board on directors' duties, pre-emption, statutory filings and the conditions to completion;</w:t>
      </w:r>
    </w:p>
    <w:p>
      <w:pPr>
        <w:pStyle w:val="ListParagraph"/>
        <w:numPr>
          <w:ilvl w:val="0"/>
          <w:numId w:val="2"/>
        </w:numPr>
        <w:spacing w:after="60"/>
      </w:pPr>
      <w:r>
        <w:t xml:space="preserve">co-ordinating the Company's responses to the Lead Investor's legal and financial due diligence and preparing the disclosure letter against the warranties;</w:t>
      </w:r>
    </w:p>
    <w:p>
      <w:pPr>
        <w:pStyle w:val="ListParagraph"/>
        <w:numPr>
          <w:ilvl w:val="0"/>
          <w:numId w:val="2"/>
        </w:numPr>
        <w:spacing w:after="60"/>
      </w:pPr>
      <w:r>
        <w:t xml:space="preserve">preparing board and shareholder resolutions and managing the completion process and post-completion Companies House filings.</w:t>
      </w:r>
    </w:p>
    <w:p>
      <w:pPr>
        <w:spacing w:after="120"/>
      </w:pPr>
      <w:r>
        <w:t xml:space="preserve">We are not instructed to advise on the tax treatment of the round for the Company, any employee or any investor, nor on the EIS/VCT status of any shares; the Company should take separate specialist tax advice. We do not act for any individual director, shareholder or investor.</w:t>
      </w:r>
    </w:p>
    <w:p>
      <w:pPr>
        <w:pStyle w:val="Heading2"/>
      </w:pPr>
      <w:r>
        <w:t xml:space="preserve">2.  Team and supervision</w:t>
      </w:r>
    </w:p>
    <w:p>
      <w:pPr>
        <w:spacing w:after="120"/>
      </w:pPr>
      <w:r>
        <w:t xml:space="preserve">The matter is led by Sarah Whitfield (Partner), supported by James Osei (Senior Associate) and Elena Marchetti (Associate). Sarah Whitfield has overall responsibility for the Engagement and for the standard of our service.</w:t>
      </w:r>
    </w:p>
    <w:p>
      <w:pPr>
        <w:pStyle w:val="Heading2"/>
      </w:pPr>
      <w:r>
        <w:t xml:space="preserve">3.  Fees and disbursements</w:t>
      </w:r>
    </w:p>
    <w:p>
      <w:pPr>
        <w:spacing w:after="120"/>
      </w:pPr>
      <w:r>
        <w:t xml:space="preserve">Our fees are charged by reference to time spent at the following hourly rates (exclusive of VAT): Partner £695; Senior Associate £495; Associate £360. We estimate our fees for the Engagement, assuming a single round of negotiation on each principal document and a timetable to completion of approximately eight to ten weeks, in the range of £85,000 to £110,000 plus VAT and disbursements. This is an estimate and not a fixed fee or a cap; we will tell you promptly if it appears the estimate will be exceeded.</w:t>
      </w:r>
    </w:p>
    <w:p>
      <w:pPr>
        <w:spacing w:after="120"/>
      </w:pPr>
      <w:r>
        <w:t xml:space="preserve">It is customary on a transaction of this kind for the Company to agree to bear the Lead Investor's reasonable legal fees up to an agreed cap. We understand a cap of £35,000 plus VAT has been discussed; that liability is the Company's and is separate from our fees.</w:t>
      </w:r>
    </w:p>
    <w:p>
      <w:pPr>
        <w:pStyle w:val="Heading2"/>
      </w:pPr>
      <w:r>
        <w:t xml:space="preserve">4.  Billing</w:t>
      </w:r>
    </w:p>
    <w:p>
      <w:pPr>
        <w:spacing w:after="120"/>
      </w:pPr>
      <w:r>
        <w:t xml:space="preserve">We will bill monthly in arrears and a final bill on completion. Invoices are payable within 14 days. Interest may be charged on overdue amounts under the Late Payment of Commercial Debts (Interest) Act 1998.</w:t>
      </w:r>
    </w:p>
    <w:p>
      <w:pPr>
        <w:pStyle w:val="Heading2"/>
      </w:pPr>
      <w:r>
        <w:t xml:space="preserve">5.  Conflicts, confidentiality and data protection</w:t>
      </w:r>
    </w:p>
    <w:p>
      <w:pPr>
        <w:spacing w:after="120"/>
      </w:pPr>
      <w:r>
        <w:t xml:space="preserve">We have carried out a conflict check and are not aware of any conflict preventing us acting. We will keep your affairs confidential subject to our regulatory and legal obligations and will process personal data in accordance with our privacy notice and applicable data protection law.</w:t>
      </w:r>
    </w:p>
    <w:p>
      <w:pPr>
        <w:pStyle w:val="Heading2"/>
      </w:pPr>
      <w:r>
        <w:t xml:space="preserve">6.  Limitation of liability</w:t>
      </w:r>
    </w:p>
    <w:p>
      <w:pPr>
        <w:spacing w:after="120"/>
      </w:pPr>
      <w:r>
        <w:t xml:space="preserve">Our aggregate liability to the Company for any loss arising out of or in connection with the Engagement, whether in contract, tort (including negligence) or otherwise, is limited to £3 million, save that nothing limits liability for death or personal injury caused by negligence, for fraud, or to the extent such a limit is not permitted by law or by the SRA Standards and Regulations.</w:t>
      </w:r>
    </w:p>
    <w:p>
      <w:pPr>
        <w:pStyle w:val="Heading2"/>
      </w:pPr>
      <w:r>
        <w:t xml:space="preserve">7.  Acceptance</w:t>
      </w:r>
    </w:p>
    <w:p>
      <w:pPr>
        <w:spacing w:after="120"/>
      </w:pPr>
      <w:r>
        <w:t xml:space="preserve">We are regulated by the Solicitors Regulation Authority. If these terms are acceptable, please sign and return the enclosed copy. In any event, we will treat your continuing instructions as acceptance of these terms.</w:t>
      </w:r>
    </w:p>
    <w:p>
      <w:pPr>
        <w:spacing w:after="120"/>
      </w:pPr>
      <w:r>
        <w:t xml:space="preserve"/>
      </w:r>
    </w:p>
    <w:p>
      <w:pPr>
        <w:spacing w:after="120"/>
      </w:pPr>
      <w:r>
        <w:t xml:space="preserve">Yours faithfully</w:t>
      </w:r>
    </w:p>
    <w:p>
      <w:pPr>
        <w:spacing w:after="120"/>
      </w:pPr>
      <w:r>
        <w:t xml:space="preserve"/>
      </w:r>
    </w:p>
    <w:p>
      <w:pPr>
        <w:spacing w:after="120"/>
        <w:rPr>
          <w:b/>
          <w:bCs/>
        </w:rPr>
      </w:pPr>
      <w:r>
        <w:rPr>
          <w:b/>
          <w:bCs/>
        </w:rPr>
        <w:t xml:space="preserve">Whitfield Carter LLP</w:t>
      </w:r>
    </w:p>
    <w:p>
      <w:pPr>
        <w:spacing w:after="120"/>
      </w:pPr>
      <w:r>
        <w:t xml:space="preserve"/>
      </w:r>
    </w:p>
    <w:p>
      <w:pPr>
        <w:spacing w:after="120"/>
      </w:pPr>
      <w:r>
        <w:t xml:space="preserve">Acknowledged and agreed for and on behalf of Halcyon Photonics Limited:</w:t>
      </w:r>
    </w:p>
    <w:p>
      <w:pPr>
        <w:spacing w:after="120"/>
      </w:pPr>
      <w:r>
        <w:t xml:space="preserve"/>
      </w:r>
    </w:p>
    <w:p>
      <w:pPr>
        <w:spacing w:after="120"/>
      </w:pPr>
      <w:r>
        <w:t xml:space="preserve">__________________________________</w:t>
      </w:r>
    </w:p>
    <w:p>
      <w:pPr>
        <w:spacing w:after="120"/>
      </w:pPr>
      <w:r>
        <w:t xml:space="preserve">Dr Anita Roy — Chief Executive Officer</w:t>
      </w:r>
    </w:p>
    <w:p>
      <w:pPr>
        <w:spacing w:after="120"/>
      </w:pPr>
      <w:r>
        <w:t xml:space="preserve">Date: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jc w:val="right"/>
    </w:pPr>
    <w:r>
      <w:rPr>
        <w:color w:val="595959"/>
        <w:sz w:val="16"/>
        <w:szCs w:val="16"/>
      </w:rPr>
      <w:t xml:space="preserve">22 Bishopsgate, London EC2N 4BQ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44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2026-06-29T15:57:50.039Z</dcterms:created>
  <dcterms:modified xsi:type="dcterms:W3CDTF">2026-06-29T15:57:50.039Z</dcterms:modified>
</cp:coreProperties>
</file>

<file path=docProps/custom.xml><?xml version="1.0" encoding="utf-8"?>
<Properties xmlns="http://schemas.openxmlformats.org/officeDocument/2006/custom-properties" xmlns:vt="http://schemas.openxmlformats.org/officeDocument/2006/docPropsVTypes"/>
</file>