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4"/>
          <w:szCs w:val="24"/>
        </w:rPr>
        <w:t xml:space="preserve">DATED 5 MARCH 2025</w:t>
      </w:r>
    </w:p>
    <w:p>
      <w:pPr>
        <w:spacing w:after="120"/>
        <w:jc w:val="center"/>
      </w:pPr>
      <w:r>
        <w:rPr>
          <w:b/>
          <w:bCs/>
          <w:sz w:val="26"/>
          <w:szCs w:val="26"/>
        </w:rPr>
        <w:t xml:space="preserve">INVESTORS' RIGHTS AGREEMENT</w:t>
      </w:r>
    </w:p>
    <w:p>
      <w:pPr>
        <w:spacing w:after="120"/>
        <w:jc w:val="center"/>
        <w:rPr>
          <w:i/>
          <w:iCs/>
        </w:rPr>
      </w:pPr>
      <w:r>
        <w:rPr>
          <w:i/>
          <w:iCs/>
        </w:rPr>
        <w:t xml:space="preserve">relating to Halcyon Photonics Limited</w:t>
      </w:r>
    </w:p>
    <w:p>
      <w:pPr>
        <w:spacing w:after="120"/>
      </w:pPr>
      <w:r>
        <w:t xml:space="preserve"/>
      </w:r>
    </w:p>
    <w:p>
      <w:pPr>
        <w:spacing w:after="120"/>
      </w:pPr>
      <w:r>
        <w:t xml:space="preserve">This Investors' Rights Agreement is entered into between Halcyon Photonics Limited (the "Company"), the Founders and the Investors named in the Subscription and Shareholders' Agreement of even date (the "Subscription Agreement"). Terms defined in the Subscription Agreement have the same meaning here.</w:t>
      </w:r>
    </w:p>
    <w:p>
      <w:pPr>
        <w:pStyle w:val="Heading1"/>
      </w:pPr>
      <w:r>
        <w:t xml:space="preserve">1.  PRE-EMPTION ON NEW ISSUES</w:t>
      </w:r>
    </w:p>
    <w:p>
      <w:pPr>
        <w:pStyle w:val="ListParagraph"/>
        <w:numPr>
          <w:ilvl w:val="1"/>
          <w:numId w:val="2"/>
        </w:numPr>
        <w:spacing w:after="100"/>
      </w:pPr>
      <w:r>
        <w:t xml:space="preserve">Before issuing any new equity securities the Company shall offer them to the holders of preferred and ordinary shares pro rata to their fully-diluted holdings, on the same terms, by written notice giving not less than 14 days to accept. Securities not taken up may be issued to third parties within 60 days on no more favourable terms.</w:t>
      </w:r>
    </w:p>
    <w:p>
      <w:pPr>
        <w:pStyle w:val="ListParagraph"/>
        <w:numPr>
          <w:ilvl w:val="1"/>
          <w:numId w:val="2"/>
        </w:numPr>
        <w:spacing w:after="100"/>
      </w:pPr>
      <w:r>
        <w:t xml:space="preserve">Pre-emption does not apply to: (a) shares issued under the option pool; (b) shares issued on conversion of the Series B Shares; (c) shares issued as consideration for a board-approved acquisition; or (d) shares issued to a bank or lessor in connection with board-approved debt finance.</w:t>
      </w:r>
    </w:p>
    <w:p>
      <w:pPr>
        <w:pStyle w:val="Heading1"/>
      </w:pPr>
      <w:r>
        <w:t xml:space="preserve">2.  TRANSFER RESTRICTIONS, ROFR AND CO-SALE</w:t>
      </w:r>
    </w:p>
    <w:p>
      <w:pPr>
        <w:pStyle w:val="ListParagraph"/>
        <w:numPr>
          <w:ilvl w:val="1"/>
          <w:numId w:val="2"/>
        </w:numPr>
        <w:spacing w:after="100"/>
      </w:pPr>
      <w:r>
        <w:t xml:space="preserve">No shareholder may transfer shares except in accordance with this clause and the Articles. A proposed transfer (other than a Permitted Transfer) must first be offered to the other shareholders by way of a right of first refusal, pro rata to their holdings, at the proposed price.</w:t>
      </w:r>
    </w:p>
    <w:p>
      <w:pPr>
        <w:pStyle w:val="ListParagraph"/>
        <w:numPr>
          <w:ilvl w:val="1"/>
          <w:numId w:val="2"/>
        </w:numPr>
        <w:spacing w:after="100"/>
      </w:pPr>
      <w:r>
        <w:t xml:space="preserve">If a Founder proposes to transfer shares to a third party, each Investor has a co-sale right to participate in that sale pro rata, on the same terms.</w:t>
      </w:r>
    </w:p>
    <w:p>
      <w:pPr>
        <w:pStyle w:val="ListParagraph"/>
        <w:numPr>
          <w:ilvl w:val="1"/>
          <w:numId w:val="2"/>
        </w:numPr>
        <w:spacing w:after="100"/>
      </w:pPr>
      <w:r>
        <w:t xml:space="preserve">Permitted Transfers include transfers to an Investor's affiliate or fund under common management, and transfers by a Founder to a family trust or personal holding company, in each case subject to the transferee adhering to this Agreement.</w:t>
      </w:r>
    </w:p>
    <w:p>
      <w:pPr>
        <w:pStyle w:val="Heading1"/>
      </w:pPr>
      <w:r>
        <w:t xml:space="preserve">3.  DRAG-ALONG AND TAG-ALONG</w:t>
      </w:r>
    </w:p>
    <w:p>
      <w:pPr>
        <w:pStyle w:val="ListParagraph"/>
        <w:numPr>
          <w:ilvl w:val="1"/>
          <w:numId w:val="2"/>
        </w:numPr>
        <w:spacing w:after="100"/>
      </w:pPr>
      <w:r>
        <w:t xml:space="preserve">If holders of more than 70% of the shares (by class voting as required by the Articles, including the Investor Majority) accept a bona fide offer for the entire issued share capital, they may require all other shareholders to sell on the same terms (drag-along).</w:t>
      </w:r>
    </w:p>
    <w:p>
      <w:pPr>
        <w:pStyle w:val="ListParagraph"/>
        <w:numPr>
          <w:ilvl w:val="1"/>
          <w:numId w:val="2"/>
        </w:numPr>
        <w:spacing w:after="100"/>
      </w:pPr>
      <w:r>
        <w:t xml:space="preserve">If a person proposes to acquire control, the remaining shareholders have the right to require their shares to be purchased on the same terms (tag-along).</w:t>
      </w:r>
    </w:p>
    <w:p>
      <w:pPr>
        <w:pStyle w:val="Heading1"/>
      </w:pPr>
      <w:r>
        <w:t xml:space="preserve">4.  ANTI-DILUTION</w:t>
      </w:r>
    </w:p>
    <w:p>
      <w:pPr>
        <w:pStyle w:val="ListParagraph"/>
        <w:numPr>
          <w:ilvl w:val="1"/>
          <w:numId w:val="2"/>
        </w:numPr>
        <w:spacing w:after="100"/>
      </w:pPr>
      <w:r>
        <w:t xml:space="preserve">If the Company issues shares at a price below the Issue Price (a "Down Round"), the conversion price of the Series B Shares shall be adjusted on a broad-based weighted average basis, with customary carve-outs mirroring clause 1.2.</w:t>
      </w:r>
    </w:p>
    <w:p>
      <w:pPr>
        <w:pStyle w:val="Heading1"/>
      </w:pPr>
      <w:r>
        <w:t xml:space="preserve">5.  INFORMATION AND INSPECTION RIGHTS</w:t>
      </w:r>
    </w:p>
    <w:p>
      <w:pPr>
        <w:pStyle w:val="ListParagraph"/>
        <w:numPr>
          <w:ilvl w:val="1"/>
          <w:numId w:val="2"/>
        </w:numPr>
        <w:spacing w:after="100"/>
      </w:pPr>
      <w:r>
        <w:t xml:space="preserve">In addition to the information rights in the Subscription Agreement, each holder of at least 5% of the equity may, on reasonable notice and during business hours, inspect the Company's books and records and discuss its affairs with management.</w:t>
      </w:r>
    </w:p>
    <w:p>
      <w:pPr>
        <w:pStyle w:val="Heading1"/>
      </w:pPr>
      <w:r>
        <w:t xml:space="preserve">6.  REGISTRATION / LISTING CO-OPERATION</w:t>
      </w:r>
    </w:p>
    <w:p>
      <w:pPr>
        <w:pStyle w:val="ListParagraph"/>
        <w:numPr>
          <w:ilvl w:val="1"/>
          <w:numId w:val="2"/>
        </w:numPr>
        <w:spacing w:after="100"/>
      </w:pPr>
      <w:r>
        <w:t xml:space="preserve">On a proposed listing, the Company shall use reasonable endeavours to procure that the Investors may sell a pro-rata portion of their shares in the offering, subject to customary underwriter cut-backs and lock-ups.</w:t>
      </w:r>
    </w:p>
    <w:p>
      <w:pPr>
        <w:pStyle w:val="Heading1"/>
      </w:pPr>
      <w:r>
        <w:t xml:space="preserve">7.  FOUNDER VESTING</w:t>
      </w:r>
    </w:p>
    <w:p>
      <w:pPr>
        <w:pStyle w:val="ListParagraph"/>
        <w:numPr>
          <w:ilvl w:val="1"/>
          <w:numId w:val="2"/>
        </w:numPr>
        <w:spacing w:after="100"/>
      </w:pPr>
      <w:r>
        <w:t xml:space="preserve">Each Founder's shares vest as to the unvested portion over 36 months from Completion, with leaver provisions as set out in the Articles. The board (including the Investor Director) may accelerate vesting on a change of control.</w:t>
      </w:r>
    </w:p>
    <w:p>
      <w:pPr>
        <w:pStyle w:val="Heading1"/>
      </w:pPr>
      <w:r>
        <w:t xml:space="preserve">8.  GENERAL</w:t>
      </w:r>
    </w:p>
    <w:p>
      <w:pPr>
        <w:pStyle w:val="ListParagraph"/>
        <w:numPr>
          <w:ilvl w:val="1"/>
          <w:numId w:val="2"/>
        </w:numPr>
        <w:spacing w:after="100"/>
      </w:pPr>
      <w:r>
        <w:t xml:space="preserve">This Agreement is governed by the laws of England and Wales and the parties submit to the exclusive jurisdiction of the courts of England and Wales. It may be executed in counterparts and varied only in writing signed by the Company and an Investor Majority.</w:t>
      </w:r>
    </w:p>
    <w:p>
      <w:pPr>
        <w:spacing w:after="120"/>
      </w:pPr>
      <w:r>
        <w:t xml:space="preserve"/>
      </w:r>
    </w:p>
    <w:p>
      <w:pPr>
        <w:spacing w:after="120"/>
      </w:pPr>
      <w:r>
        <w:t xml:space="preserve">SIGNED for and on behalf of Halcyon Photonics Limited: ____________________</w:t>
      </w:r>
    </w:p>
    <w:p>
      <w:pPr>
        <w:spacing w:after="120"/>
      </w:pPr>
      <w:r>
        <w:t xml:space="preserve">SIGNED for and on behalf of Brindley Growth Partners LLP: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2026-06-29T15:57:50.314Z</dcterms:created>
  <dcterms:modified xsi:type="dcterms:W3CDTF">2026-06-29T15:57:50.314Z</dcterms:modified>
</cp:coreProperties>
</file>

<file path=docProps/custom.xml><?xml version="1.0" encoding="utf-8"?>
<Properties xmlns="http://schemas.openxmlformats.org/officeDocument/2006/custom-properties" xmlns:vt="http://schemas.openxmlformats.org/officeDocument/2006/docPropsVTypes"/>
</file>