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PROJECT INDIGO</w:t>
      </w:r>
    </w:p>
    <w:p>
      <w:pPr>
        <w:spacing w:after="120"/>
        <w:jc w:val="center"/>
      </w:pPr>
      <w:r>
        <w:rPr>
          <w:b/>
          <w:bCs/>
          <w:sz w:val="22"/>
          <w:szCs w:val="22"/>
        </w:rPr>
        <w:t xml:space="preserve">SERIES B PREFERRED SHARE FINANCING — SUMMARY OF PRINCIPAL TERMS</w:t>
      </w:r>
    </w:p>
    <w:p>
      <w:pPr>
        <w:spacing w:after="120"/>
        <w:jc w:val="center"/>
        <w:rPr>
          <w:i/>
          <w:iCs/>
          <w:sz w:val="18"/>
          <w:szCs w:val="18"/>
        </w:rPr>
      </w:pPr>
      <w:r>
        <w:rPr>
          <w:i/>
          <w:iCs/>
          <w:sz w:val="18"/>
          <w:szCs w:val="18"/>
        </w:rPr>
        <w:t xml:space="preserve">Dated 9 January 2025</w:t>
      </w:r>
    </w:p>
    <w:p>
      <w:pPr>
        <w:spacing w:after="120"/>
      </w:pPr>
      <w:r>
        <w:t xml:space="preserve">This term sheet summarises the principal terms on which Brindley Growth Partners LLP (the "Lead Investor") and the other investors named in the subscription agreement (together the "Investors") propose to subscribe for Series B Preferred Shares in Halcyon Photonics Limited (the "Company"). Save for the paragraphs headed Exclusivity, Costs, Confidentiality and Governing Law (which are binding), this term sheet is not legally binding and is subject to contract, satisfactory due diligence and board and (where required) shareholder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Detail</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Company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Halcyon Photonics Limited (registered no. 11842037), a silicon-photonics optical-interconnect company.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Round / instrument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Series B financing by way of subscription for newly issued Series B Preferred Shares of £0.001 each (the "Series B Shares").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New money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£18,000,000 in aggregate.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Lead Investor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Brindley Growth Partners LLP subscribing £14,000,000.</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Existing investor follow-on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Aldridge Seed LP subscribing £3,000,000 on the same terms.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Pre-money valuation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£42,000,000 (fully diluted, inclusive of the enlarged option pool).</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Post-money valuation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£60,000,000.</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Issue price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£12 per Series B Share, being a pre-money fully-diluted price; 1,500,000 Series B Shares to be issued in aggregate.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Option pool</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option pool to be increased to 12.5% of the fully-diluted post-completion share capital, created pre-money.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Liquidation preference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1.0x non-participating preference, ranking ahead of Series A and ordinary shares, with the balance to ordinary and preferred pari passu.</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Dividend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 per annum, non-cumulative, payable only when declared.</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Anti-dilution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broad-based weighted average adjustment on a down-round, with customary carve-outs.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Conversion</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Convertible at any time at the holder's option; automatic conversion on a qualifying IPO or by special consent of the Series B majority.</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Board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Board of up to five directors; one (1) Investor Director appointed by the Lead Investor.</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Investor consents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Customary list of investor-consent matters (new senior securities, borrowings above an agreed threshold, related-party transactions, changes to the articles, a sale or listing, and the annual budget).</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Pre-emption / ROFR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Pro-rata pre-emption on new issues and a right of first refusal and co-sale on transfers, with customary permitted-transfer carve-outs.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Founder vesting</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Founder shares subject to reverse vesting over the unvested portion, with leaver provisions; full acceleration on a sale only with Investor Director consent.</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Warranties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Company and (on a limited basis) founder warranties, qualified by a disclosure letter; customary caps and time limits.</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Conditions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Completion conditional on the amended articles, the investors' rights agreement, board and shareholder approvals, and delivery of the disclosure letter.</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Exclusivity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Company grants the Lead Investor exclusivity for 45 days from the date of this term sheet.</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Costs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Company to bear the Lead Investor's reasonable legal costs up to £35,000 plus VAT, payable on completion (or on an abort save where the Lead Investor withdraws without cause).</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Confidentiality</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existence and terms of this term sheet are confidential.</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Governing law</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laws of England and Wales; courts of England and Wales.</w:t>
            </w:r>
          </w:p>
        </w:tc>
      </w:tr>
    </w:tbl>
    <w:p>
      <w:pPr>
        <w:spacing w:after="120"/>
      </w:pPr>
      <w:r>
        <w:t xml:space="preserve"/>
      </w:r>
    </w:p>
    <w:p>
      <w:pPr>
        <w:spacing w:after="120"/>
        <w:rPr>
          <w:b/>
          <w:bCs/>
        </w:rPr>
      </w:pPr>
      <w:r>
        <w:rPr>
          <w:b/>
          <w:bCs/>
        </w:rPr>
        <w:t xml:space="preserve">Agreed in principle, subject to contract:</w:t>
      </w:r>
    </w:p>
    <w:p>
      <w:pPr>
        <w:spacing w:after="120"/>
      </w:pPr>
      <w:r>
        <w:t xml:space="preserve"/>
      </w:r>
    </w:p>
    <w:p>
      <w:pPr>
        <w:spacing w:after="120"/>
      </w:pPr>
      <w:r>
        <w:t xml:space="preserve">For Brindley Growth Partners LLP:  ____________________   Eleanor Brindley, Managing Partner</w:t>
      </w:r>
    </w:p>
    <w:p>
      <w:pPr>
        <w:spacing w:after="120"/>
      </w:pPr>
      <w:r>
        <w:t xml:space="preserve"/>
      </w:r>
    </w:p>
    <w:p>
      <w:pPr>
        <w:spacing w:after="120"/>
      </w:pPr>
      <w:r>
        <w:t xml:space="preserve">For Halcyon Photonics Limited:  ____________________   Dr Anita Roy, Chief Executive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2026-06-29T15:57:50.088Z</dcterms:created>
  <dcterms:modified xsi:type="dcterms:W3CDTF">2026-06-29T15:57:50.088Z</dcterms:modified>
</cp:coreProperties>
</file>

<file path=docProps/custom.xml><?xml version="1.0" encoding="utf-8"?>
<Properties xmlns="http://schemas.openxmlformats.org/officeDocument/2006/custom-properties" xmlns:vt="http://schemas.openxmlformats.org/officeDocument/2006/docPropsVTypes"/>
</file>