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sz w:val="26"/>
          <w:szCs w:val="26"/>
        </w:rPr>
        <w:t xml:space="preserve">COMPLETION CHECKLIST</w:t>
      </w:r>
    </w:p>
    <w:p>
      <w:pPr>
        <w:spacing w:after="40" w:before="0"/>
        <w:jc w:val="center"/>
      </w:pPr>
      <w:r>
        <w:rPr>
          <w:i/>
          <w:iCs/>
        </w:rPr>
        <w:t xml:space="preserve">Project Willow — Acquisition of Westmere Coatings Limited</w:t>
      </w:r>
    </w:p>
    <w:p>
      <w:pPr>
        <w:spacing w:after="160" w:before="0"/>
        <w:jc w:val="center"/>
      </w:pPr>
      <w:r>
        <w:rPr>
          <w:sz w:val="18"/>
          <w:szCs w:val="18"/>
        </w:rPr>
        <w:t xml:space="preserve">Completion: 16 May 2025  ·  Status as at completion</w:t>
      </w:r>
    </w:p>
    <w:p>
      <w:pPr>
        <w:spacing w:after="120" w:before="0"/>
      </w:pPr>
      <w:r>
        <w:rPr>
          <w:b/>
          <w:bCs/>
        </w:rPr>
        <w:t xml:space="preserve">Parties and advisers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6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Party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Adviser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Willow Bidco Limited / Halloran Capital Partners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Whitfield Carter LLP (SW / JO / EM)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Geoffrey Westmere &amp; others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Castle &amp; Vane LLP (J. Vane / A. Hart)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Tax / financial DD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Marlow Tax &amp; Advisory (D. Reeves)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Auditors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Lockhart Reade LLP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160"/>
        <w:gridCol w:w="16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Finance Consent (Pennine Asset Finance) to change of control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 / C&amp;V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Satisfied 14 May 2025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 material adverse change to completion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Documents to be delivered at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400"/>
        <w:gridCol w:w="1380"/>
        <w:gridCol w:w="178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Party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Share Purchase Agreement (execution version)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Deed/agreement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All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Executed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Disclosure Letter + disclosure bundle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Letter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Stock transfer forms (4) for the Shares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Form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Executed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Share certificates for the Shares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Certificate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 / cancelled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Resignation of Geoffrey Westmere as director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Letter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Resignation of auditors (Lockhart Reade)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Letter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Service agreement — Daniel Westmere (MD)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Agreement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Executed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Consultancy agreement — Geoffrey Westmere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Agreement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Executed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Board minutes of the Company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Minutes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Company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Board minutes of the Buyer (authorising completion)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Minutes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Finance Consent (Pennine Asset Finance)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Consent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Release of debenture / charges over the Company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Deed/Form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Filed at CH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Statutory books of the Company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Books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Sellers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Funds flow statement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Statement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Retention account mandate (joint solicitors)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Mandate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Executed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Completion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From → To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Balance of Initial Consideration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£37,550,000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Buyer → Castle &amp; Vane client account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Retention Amount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£2,000,000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Buyer → Retention Account (joint)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Total funds at completion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£39,550,000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Post-completion (Whitfield Carter to attend 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9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File stock transfer forms; pay stamp duty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Within 30 days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Update statutory registers; issue new share certificate to Buyer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At completion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File AP01 / TM01 (director changes) and PSC updates at Companies House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Within 14 days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File MR04 (satisfaction of charge)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Within 21 days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Notify AkzoNobel of change of control under supply agreement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Within 30 days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777777"/>
        <w:sz w:val="14"/>
        <w:szCs w:val="14"/>
      </w:rPr>
      <w:t xml:space="preserve">Project Willow — Completion Checklist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24"/>
        <w:szCs w:val="24"/>
      </w:rPr>
      <w:t xml:space="preserve">Whitfield Carter LLP</w:t>
    </w:r>
  </w:p>
  <w:p>
    <w:pPr>
      <w:pBdr>
        <w:bottom w:val="single" w:color="2E4A7A" w:sz="6" w:space="4"/>
      </w:pBdr>
      <w:spacing w:after="120"/>
    </w:pPr>
    <w:r>
      <w:rPr>
        <w:color w:val="555555"/>
        <w:sz w:val="16"/>
        <w:szCs w:val="16"/>
      </w:rPr>
      <w:t xml:space="preserve">22 Bishopsgate, London EC2N 4BQ  ·  T +44 (0)20 7946 0521  ·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Project_Willow_CompletionChecklist.docx</dc:title>
  <dc:creator>Whitfield Carter LLP</dc:creator>
  <cp:lastModifiedBy>Un-named</cp:lastModifiedBy>
  <cp:revision>1</cp:revision>
  <dcterms:created xsi:type="dcterms:W3CDTF">2026-06-28T07:33:27.931Z</dcterms:created>
  <dcterms:modified xsi:type="dcterms:W3CDTF">2026-06-28T07:33:27.931Z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