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6"/>
          <w:szCs w:val="26"/>
        </w:rPr>
        <w:t xml:space="preserve">DISCLOSURE LETTER</w:t>
      </w:r>
    </w:p>
    <w:p>
      <w:pPr>
        <w:spacing w:after="160" w:before="0"/>
        <w:jc w:val="center"/>
      </w:pPr>
      <w:r>
        <w:rPr>
          <w:i/>
          <w:iCs/>
        </w:rPr>
        <w:t xml:space="preserve">Project Willow — Westmere Coatings Limited</w:t>
      </w:r>
    </w:p>
    <w:p>
      <w:pPr>
        <w:spacing w:after="120" w:before="0"/>
      </w:pPr>
      <w:r>
        <w:t xml:space="preserve">From: the Sellers (as defined in the Agreement)</w:t>
      </w:r>
    </w:p>
    <w:p>
      <w:pPr>
        <w:spacing w:after="120" w:before="0"/>
      </w:pPr>
      <w:r>
        <w:t xml:space="preserve">To: Willow Bidco Limited (the “Buyer”)</w:t>
      </w:r>
    </w:p>
    <w:p>
      <w:pPr>
        <w:spacing w:after="160" w:before="0"/>
      </w:pPr>
      <w:r>
        <w:rPr>
          <w:b/>
          <w:bCs/>
        </w:rPr>
        <w:t xml:space="preserve">Dated 16 May 2025</w:t>
      </w:r>
    </w:p>
    <w:p>
      <w:pPr>
        <w:spacing w:after="120" w:before="0"/>
      </w:pPr>
      <w:r>
        <w:t xml:space="preserve">Dear Sirs</w:t>
      </w:r>
    </w:p>
    <w:p>
      <w:pPr>
        <w:spacing w:after="120" w:before="0"/>
      </w:pPr>
      <w:r>
        <w:rPr>
          <w:b/>
          <w:bCs/>
        </w:rPr>
        <w:t xml:space="preserve">Share Purchase Agreement relating to the entire issued share capital of Westmere Coatings Limited</w:t>
      </w:r>
    </w:p>
    <w:p>
      <w:pPr>
        <w:spacing w:after="120" w:before="0"/>
      </w:pPr>
      <w:r>
        <w:t xml:space="preserve">This is the Disclosure Letter referred to in the share purchase agreement of today’s date between the Sellers and the Buyer (the “Agreement”). Words and expressions defined in the Agreement have the same meaning in this letter. This letter is delivered pursuant to clause 8 of the Agreement and qualifies the Business Warranties set out in Part 2 of Schedule 5.</w:t>
      </w:r>
    </w:p>
    <w:p>
      <w:pPr>
        <w:spacing w:after="120" w:before="0"/>
      </w:pPr>
      <w:r>
        <w:rPr>
          <w:b/>
          <w:bCs/>
        </w:rPr>
        <w:t xml:space="preserve">1. General disclosures</w:t>
      </w:r>
    </w:p>
    <w:p>
      <w:pPr>
        <w:spacing w:after="120" w:before="0"/>
      </w:pPr>
      <w:r>
        <w:t xml:space="preserve">The Warranties are given subject to the following general disclosures, which qualify all of the Business Warranties whether or not specifically referred to in the specific disclosures below:</w:t>
      </w:r>
    </w:p>
    <w:p>
      <w:pPr>
        <w:tabs>
          <w:tab w:val="left" w:pos="600"/>
        </w:tabs>
        <w:spacing w:after="100"/>
        <w:ind w:left="600" w:hanging="600"/>
      </w:pPr>
      <w:r>
        <w:t xml:space="preserve">(a)	</w:t>
      </w:r>
      <w:r>
        <w:t xml:space="preserve">all matters disclosed or referred to in the Accounts, the Management Accounts and the notes to them;</w:t>
      </w:r>
    </w:p>
    <w:p>
      <w:pPr>
        <w:tabs>
          <w:tab w:val="left" w:pos="600"/>
        </w:tabs>
        <w:spacing w:after="100"/>
        <w:ind w:left="600" w:hanging="600"/>
      </w:pPr>
      <w:r>
        <w:t xml:space="preserve">(b)	</w:t>
      </w:r>
      <w:r>
        <w:t xml:space="preserve">all matters which would be revealed by a search of the public registers maintained at Companies House and HM Land Registry against the Company conducted two Business Days before the date of this letter;</w:t>
      </w:r>
    </w:p>
    <w:p>
      <w:pPr>
        <w:tabs>
          <w:tab w:val="left" w:pos="600"/>
        </w:tabs>
        <w:spacing w:after="100"/>
        <w:ind w:left="600" w:hanging="600"/>
      </w:pPr>
      <w:r>
        <w:t xml:space="preserve">(c)	</w:t>
      </w:r>
      <w:r>
        <w:t xml:space="preserve">all matters fairly disclosed in the documents contained in the disclosure bundle indexed at the Appendix to this letter (the “Data Room”); and</w:t>
      </w:r>
    </w:p>
    <w:p>
      <w:pPr>
        <w:tabs>
          <w:tab w:val="left" w:pos="600"/>
        </w:tabs>
        <w:spacing w:after="100"/>
        <w:ind w:left="600" w:hanging="600"/>
      </w:pPr>
      <w:r>
        <w:t xml:space="preserve">(d)	</w:t>
      </w:r>
      <w:r>
        <w:t xml:space="preserve">all matters within the actual knowledge of the Buyer or its advisers arising from the due diligence exercise.</w:t>
      </w:r>
    </w:p>
    <w:p>
      <w:pPr>
        <w:spacing w:after="120" w:before="0"/>
      </w:pPr>
      <w:r>
        <w:rPr>
          <w:b/>
          <w:bCs/>
        </w:rPr>
        <w:t xml:space="preserve">2. Specific disclosures</w:t>
      </w:r>
    </w:p>
    <w:p>
      <w:pPr>
        <w:spacing w:after="120" w:before="0"/>
      </w:pPr>
      <w:r>
        <w:t xml:space="preserve">The following specific disclosures are made against the Business Warranties identified. The numbering corresponds to the paragraphs of Part 2 of Schedule 5 to the Agreement.</w:t>
      </w:r>
    </w:p>
    <w:p>
      <w:pPr>
        <w:tabs>
          <w:tab w:val="left" w:pos="600"/>
        </w:tabs>
        <w:spacing w:after="90"/>
        <w:ind w:left="600" w:hanging="600"/>
      </w:pPr>
      <w:r>
        <w:t xml:space="preserve">1	</w:t>
      </w:r>
      <w:r>
        <w:rPr>
          <w:b/>
          <w:bCs/>
        </w:rPr>
        <w:t xml:space="preserve">Warranty 6 (Contracts): </w:t>
      </w:r>
      <w:r>
        <w:t xml:space="preserve">The Company’s largest supply contract is its powder-coating supply agreement with AkzoNobel Powder Coatings Ltd dated 1 April 2022, which contains a change-of-control provision requiring notification (but not consent) within 30 days of completion. Disclosed at Data Room document 4.2.</w:t>
      </w:r>
    </w:p>
    <w:p>
      <w:pPr>
        <w:tabs>
          <w:tab w:val="left" w:pos="600"/>
        </w:tabs>
        <w:spacing w:after="90"/>
        <w:ind w:left="600" w:hanging="600"/>
      </w:pPr>
      <w:r>
        <w:t xml:space="preserve">2	</w:t>
      </w:r>
      <w:r>
        <w:rPr>
          <w:b/>
          <w:bCs/>
        </w:rPr>
        <w:t xml:space="preserve">Warranty 6 (Contracts): </w:t>
      </w:r>
      <w:r>
        <w:t xml:space="preserve">The master hire agreement with Pennine Asset Finance Limited dated 4 March 2021 (Data Room 4.5) requires the lessor’s written consent to a change of control. The Finance Consent has been obtained and is at Data Room 4.6.</w:t>
      </w:r>
    </w:p>
    <w:p>
      <w:pPr>
        <w:tabs>
          <w:tab w:val="left" w:pos="600"/>
        </w:tabs>
        <w:spacing w:after="90"/>
        <w:ind w:left="600" w:hanging="600"/>
      </w:pPr>
      <w:r>
        <w:t xml:space="preserve">3	</w:t>
      </w:r>
      <w:r>
        <w:rPr>
          <w:b/>
          <w:bCs/>
        </w:rPr>
        <w:t xml:space="preserve">Warranty 7 (Customers and suppliers): </w:t>
      </w:r>
      <w:r>
        <w:t xml:space="preserve">The Company’s single largest customer, Sheffield Forgemasters, accounted for 14.2% of turnover in the year ended 31 December 2024. Disclosed at Data Room 5.1.</w:t>
      </w:r>
    </w:p>
    <w:p>
      <w:pPr>
        <w:tabs>
          <w:tab w:val="left" w:pos="600"/>
        </w:tabs>
        <w:spacing w:after="90"/>
        <w:ind w:left="600" w:hanging="600"/>
      </w:pPr>
      <w:r>
        <w:t xml:space="preserve">4	</w:t>
      </w:r>
      <w:r>
        <w:rPr>
          <w:b/>
          <w:bCs/>
        </w:rPr>
        <w:t xml:space="preserve">Warranty 9 (Litigation): </w:t>
      </w:r>
      <w:r>
        <w:t xml:space="preserve">A former employee, Mr K. Doyle, has lodged an early-conciliation notice with ACAS alleging unfair dismissal (claim not yet issued). The Company denies the claim. Disclosed at Data Room 8.3. No provision has been made in the Accounts.</w:t>
      </w:r>
    </w:p>
    <w:p>
      <w:pPr>
        <w:tabs>
          <w:tab w:val="left" w:pos="600"/>
        </w:tabs>
        <w:spacing w:after="90"/>
        <w:ind w:left="600" w:hanging="600"/>
      </w:pPr>
      <w:r>
        <w:t xml:space="preserve">5	</w:t>
      </w:r>
      <w:r>
        <w:rPr>
          <w:b/>
          <w:bCs/>
        </w:rPr>
        <w:t xml:space="preserve">Warranty 10 (Compliance and licences): </w:t>
      </w:r>
      <w:r>
        <w:t xml:space="preserve">The Company holds an environmental permit (ref EP/SH/00214) for its solvent-based coating line. A routine variation application is pending with the Environment Agency. Disclosed at Data Room 7.1–7.4.</w:t>
      </w:r>
    </w:p>
    <w:p>
      <w:pPr>
        <w:tabs>
          <w:tab w:val="left" w:pos="600"/>
        </w:tabs>
        <w:spacing w:after="90"/>
        <w:ind w:left="600" w:hanging="600"/>
      </w:pPr>
      <w:r>
        <w:t xml:space="preserve">6	</w:t>
      </w:r>
      <w:r>
        <w:rPr>
          <w:b/>
          <w:bCs/>
        </w:rPr>
        <w:t xml:space="preserve">Warranty 11 (Environmental): </w:t>
      </w:r>
      <w:r>
        <w:t xml:space="preserve">A 2019 Phase II environmental site assessment (Data Room 7.6) identified historic hydrocarbon contamination in the yard area, assessed as low risk and not requiring remediation under current land use.</w:t>
      </w:r>
    </w:p>
    <w:p>
      <w:pPr>
        <w:tabs>
          <w:tab w:val="left" w:pos="600"/>
        </w:tabs>
        <w:spacing w:after="90"/>
        <w:ind w:left="600" w:hanging="600"/>
      </w:pPr>
      <w:r>
        <w:t xml:space="preserve">7	</w:t>
      </w:r>
      <w:r>
        <w:rPr>
          <w:b/>
          <w:bCs/>
        </w:rPr>
        <w:t xml:space="preserve">Warranty 12 (Employment): </w:t>
      </w:r>
      <w:r>
        <w:t xml:space="preserve">The Operations Director, Mr R. Naylor, is on a 6-month notice period and has indicated he may retire within 18 months. Disclosed at Data Room 6.2.</w:t>
      </w:r>
    </w:p>
    <w:p>
      <w:pPr>
        <w:tabs>
          <w:tab w:val="left" w:pos="600"/>
        </w:tabs>
        <w:spacing w:after="90"/>
        <w:ind w:left="600" w:hanging="600"/>
      </w:pPr>
      <w:r>
        <w:t xml:space="preserve">8	</w:t>
      </w:r>
      <w:r>
        <w:rPr>
          <w:b/>
          <w:bCs/>
        </w:rPr>
        <w:t xml:space="preserve">Warranty 13 (Pensions): </w:t>
      </w:r>
      <w:r>
        <w:t xml:space="preserve">The Company operates a defined-contribution group personal pension with Royal London. All employer contributions to 30 April 2025 have been paid. Disclosed at Data Room 6.5.</w:t>
      </w:r>
    </w:p>
    <w:p>
      <w:pPr>
        <w:tabs>
          <w:tab w:val="left" w:pos="600"/>
        </w:tabs>
        <w:spacing w:after="90"/>
        <w:ind w:left="600" w:hanging="600"/>
      </w:pPr>
      <w:r>
        <w:t xml:space="preserve">9	</w:t>
      </w:r>
      <w:r>
        <w:rPr>
          <w:b/>
          <w:bCs/>
        </w:rPr>
        <w:t xml:space="preserve">Warranty 14 (Tax): </w:t>
      </w:r>
      <w:r>
        <w:t xml:space="preserve">An R&amp;D tax credit claim for the year ended 31 December 2023 (£118,400) remains under enquiry by HMRC. Disclosed at Data Room 9.2. A reserve of £40,000 has been made in the Completion Accounts.</w:t>
      </w:r>
    </w:p>
    <w:p>
      <w:pPr>
        <w:spacing w:after="120" w:before="0"/>
      </w:pPr>
      <w:r>
        <w:rPr>
          <w:b/>
          <w:bCs/>
        </w:rPr>
        <w:t xml:space="preserve">3. Construction</w:t>
      </w:r>
    </w:p>
    <w:p>
      <w:pPr>
        <w:spacing w:after="120" w:before="0"/>
      </w:pPr>
      <w:r>
        <w:t xml:space="preserve">Where any disclosure is made against a particular Warranty, it shall be deemed to be disclosed against every other Warranty to which it is or may be relevant. The disclosure of any matter shall not imply any representation, warranty or undertaking not expressly given in the Agreement, nor shall it extend the scope of any Warranty.</w:t>
      </w:r>
    </w:p>
    <w:p>
      <w:pPr>
        <w:spacing w:after="120" w:before="160"/>
      </w:pPr>
      <w:r>
        <w:t xml:space="preserve">Yours faithfully</w:t>
      </w:r>
    </w:p>
    <w:p>
      <w:pPr>
        <w:spacing w:after="120" w:before="0"/>
      </w:pPr>
      <w:r>
        <w:t xml:space="preserve"/>
      </w:r>
    </w:p>
    <w:p>
      <w:pPr>
        <w:spacing w:after="120" w:before="0"/>
      </w:pPr>
      <w:r>
        <w:t xml:space="preserve">...........................................</w:t>
      </w:r>
    </w:p>
    <w:p>
      <w:pPr>
        <w:spacing w:after="120" w:before="0"/>
      </w:pPr>
      <w:r>
        <w:t xml:space="preserve">For and on behalf of the Sellers</w:t>
      </w:r>
    </w:p>
    <w:p>
      <w:r>
        <w:br w:type="page"/>
      </w:r>
    </w:p>
    <w:p>
      <w:pPr>
        <w:spacing w:after="120" w:before="0"/>
      </w:pPr>
      <w:r>
        <w:rPr>
          <w:b/>
          <w:bCs/>
        </w:rPr>
        <w:t xml:space="preserve">APPENDIX — INDEX TO THE DISCLOSURE BUNDLE (DATA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Ref</w:t>
            </w:r>
          </w:p>
        </w:tc>
        <w:tc>
          <w:tcPr>
            <w:tcW w:type="dxa" w:w="81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Document</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Corporate: certificate of incorporation, articles, statutory registers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Accounts: audited accounts FY2022–FY2024; management accounts to 31 Jan 2025</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Property: lease of Unit 4 Carbrook Industrial Estate; replies to CPSE enquiries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Material contracts: AkzoNobel supply agreement; Pennine Asset Finance master hire; Finance Consent</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Customers: top-10 customer schedule; key terms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Employment: contracts, handbook, pension documents, org chart</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7</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Environmental: permits, Phase II assessment, EA correspondence</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8</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Disputes: ACAS early-conciliation notice (Doyle)</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9</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Tax: corporation tax returns; R&amp;D claim and HMRC enquiry correspondence</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w:t>
            </w:r>
          </w:p>
        </w:tc>
        <w:tc>
          <w:tcPr>
            <w:tcW w:type="dxa" w:w="8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Insurance: policy schedule and claims history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Disclosure Letter</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Project_Willow_DisclosureLetter.docx</dc:title>
  <dc:creator>Whitfield Carter LLP</dc:creator>
  <cp:lastModifiedBy>Un-named</cp:lastModifiedBy>
  <cp:revision>1</cp:revision>
  <dcterms:created xsi:type="dcterms:W3CDTF">2026-06-28T07:33:27.836Z</dcterms:created>
  <dcterms:modified xsi:type="dcterms:W3CDTF">2026-06-28T07:33:27.836Z</dcterms:modified>
</cp:coreProperties>
</file>

<file path=docProps/custom.xml><?xml version="1.0" encoding="utf-8"?>
<Properties xmlns="http://schemas.openxmlformats.org/officeDocument/2006/custom-properties" xmlns:vt="http://schemas.openxmlformats.org/officeDocument/2006/docPropsVTypes"/>
</file>